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8"/>
        <w:gridCol w:w="1111"/>
        <w:gridCol w:w="12587"/>
      </w:tblGrid>
      <w:tr w:rsidR="00276DFA" w:rsidRPr="009A10F2" w:rsidTr="00635614">
        <w:trPr>
          <w:cantSplit/>
        </w:trPr>
        <w:tc>
          <w:tcPr>
            <w:tcW w:w="5000" w:type="pct"/>
            <w:gridSpan w:val="3"/>
            <w:shd w:val="clear" w:color="auto" w:fill="C0C0C0"/>
          </w:tcPr>
          <w:p w:rsidR="00276DFA" w:rsidRPr="009A10F2" w:rsidRDefault="00820AB1" w:rsidP="00037B45">
            <w:pPr>
              <w:spacing w:beforeLines="60" w:afterLines="60"/>
              <w:jc w:val="center"/>
              <w:rPr>
                <w:rFonts w:ascii="Verdana" w:hAnsi="Verdana" w:cs="Arial"/>
                <w:b/>
                <w:sz w:val="20"/>
                <w:szCs w:val="20"/>
              </w:rPr>
            </w:pPr>
            <w:r>
              <w:rPr>
                <w:rFonts w:ascii="Verdana" w:hAnsi="Verdana" w:cs="Arial"/>
                <w:b/>
                <w:sz w:val="20"/>
                <w:szCs w:val="20"/>
              </w:rPr>
              <w:t>Division of Emergency Management</w:t>
            </w:r>
          </w:p>
        </w:tc>
      </w:tr>
      <w:tr w:rsidR="003E4710" w:rsidRPr="009A10F2" w:rsidTr="00E30E0E">
        <w:trPr>
          <w:cantSplit/>
        </w:trPr>
        <w:tc>
          <w:tcPr>
            <w:tcW w:w="5000" w:type="pct"/>
            <w:gridSpan w:val="3"/>
            <w:shd w:val="pct10" w:color="auto" w:fill="auto"/>
          </w:tcPr>
          <w:p w:rsidR="00220CE6" w:rsidRPr="00635614" w:rsidRDefault="00690BB4" w:rsidP="00037B45">
            <w:pPr>
              <w:spacing w:beforeLines="60" w:afterLines="60"/>
              <w:ind w:left="720"/>
              <w:rPr>
                <w:rFonts w:ascii="Verdana" w:hAnsi="Verdana" w:cs="Arial"/>
                <w:sz w:val="20"/>
                <w:szCs w:val="20"/>
              </w:rPr>
            </w:pPr>
            <w:r>
              <w:rPr>
                <w:rFonts w:ascii="Verdana" w:hAnsi="Verdana"/>
                <w:b/>
                <w:bCs/>
                <w:i/>
                <w:iCs/>
                <w:sz w:val="20"/>
                <w:szCs w:val="20"/>
              </w:rPr>
              <w:t>Division Wide</w:t>
            </w:r>
          </w:p>
        </w:tc>
      </w:tr>
      <w:tr w:rsidR="00940AE5" w:rsidRPr="009A10F2" w:rsidTr="00E30E0E">
        <w:trPr>
          <w:cantSplit/>
          <w:trHeight w:val="500"/>
        </w:trPr>
        <w:tc>
          <w:tcPr>
            <w:tcW w:w="314" w:type="pct"/>
          </w:tcPr>
          <w:p w:rsidR="00940AE5" w:rsidRPr="009A10F2" w:rsidRDefault="00940AE5" w:rsidP="00037B45">
            <w:pPr>
              <w:spacing w:beforeLines="60" w:afterLines="60"/>
              <w:jc w:val="center"/>
              <w:rPr>
                <w:rFonts w:ascii="Verdana" w:hAnsi="Verdana" w:cs="Arial"/>
                <w:sz w:val="16"/>
                <w:szCs w:val="16"/>
              </w:rPr>
            </w:pPr>
          </w:p>
        </w:tc>
        <w:tc>
          <w:tcPr>
            <w:tcW w:w="380" w:type="pct"/>
          </w:tcPr>
          <w:p w:rsidR="00940AE5" w:rsidRPr="009A10F2" w:rsidRDefault="00276DFA" w:rsidP="00037B45">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shd w:val="clear" w:color="auto" w:fill="FFFFFF"/>
          </w:tcPr>
          <w:p w:rsidR="00940AE5" w:rsidRDefault="00820AB1" w:rsidP="00037B45">
            <w:pPr>
              <w:spacing w:beforeLines="60" w:afterLines="60"/>
              <w:rPr>
                <w:rFonts w:ascii="Verdana" w:hAnsi="Verdana" w:cs="Arial"/>
                <w:sz w:val="20"/>
                <w:szCs w:val="20"/>
              </w:rPr>
            </w:pPr>
            <w:r w:rsidRPr="00820AB1">
              <w:rPr>
                <w:rFonts w:ascii="Verdana" w:hAnsi="Verdana" w:cs="Arial"/>
                <w:b/>
                <w:bCs/>
                <w:sz w:val="20"/>
                <w:szCs w:val="20"/>
              </w:rPr>
              <w:t xml:space="preserve">Emergency Management Accreditation Program </w:t>
            </w:r>
            <w:r w:rsidRPr="00820AB1">
              <w:rPr>
                <w:rFonts w:ascii="Verdana" w:hAnsi="Verdana" w:cs="Arial"/>
                <w:sz w:val="20"/>
                <w:szCs w:val="20"/>
              </w:rPr>
              <w:t>- Florida participates in a voluntary evaluation and accreditation program for state and local emergency management programs. The evaluation is conducted independently by the National Emergency Management Association using stakeholder developed national standards. Benefits from participation in accreditation include establishment of bench marks for program management and program validation</w:t>
            </w:r>
            <w:r>
              <w:rPr>
                <w:rFonts w:ascii="Verdana" w:hAnsi="Verdana" w:cs="Arial"/>
                <w:sz w:val="20"/>
                <w:szCs w:val="20"/>
              </w:rPr>
              <w:t>.</w:t>
            </w:r>
          </w:p>
          <w:p w:rsidR="00820AB1" w:rsidRPr="009A10F2" w:rsidRDefault="00A92B26" w:rsidP="00037B45">
            <w:pPr>
              <w:spacing w:beforeLines="60" w:afterLines="60"/>
              <w:rPr>
                <w:rFonts w:ascii="Verdana" w:hAnsi="Verdana" w:cs="Arial"/>
                <w:sz w:val="20"/>
                <w:szCs w:val="20"/>
              </w:rPr>
            </w:pPr>
            <w:r>
              <w:rPr>
                <w:rFonts w:ascii="Verdana" w:hAnsi="Verdana" w:cs="Arial"/>
                <w:i/>
                <w:iCs/>
                <w:sz w:val="20"/>
                <w:szCs w:val="20"/>
              </w:rPr>
              <w:t>Funding Information:</w:t>
            </w:r>
          </w:p>
        </w:tc>
      </w:tr>
      <w:tr w:rsidR="00940AE5" w:rsidRPr="009A10F2" w:rsidTr="00E30E0E">
        <w:trPr>
          <w:cantSplit/>
          <w:trHeight w:val="500"/>
        </w:trPr>
        <w:tc>
          <w:tcPr>
            <w:tcW w:w="314" w:type="pct"/>
          </w:tcPr>
          <w:p w:rsidR="00940AE5" w:rsidRPr="009A10F2" w:rsidRDefault="00940AE5" w:rsidP="00037B45">
            <w:pPr>
              <w:spacing w:beforeLines="60" w:afterLines="60"/>
              <w:rPr>
                <w:rFonts w:ascii="Verdana" w:hAnsi="Verdana" w:cs="Arial"/>
                <w:sz w:val="16"/>
                <w:szCs w:val="16"/>
              </w:rPr>
            </w:pPr>
          </w:p>
        </w:tc>
        <w:tc>
          <w:tcPr>
            <w:tcW w:w="380" w:type="pct"/>
          </w:tcPr>
          <w:p w:rsidR="00940AE5" w:rsidRPr="009A10F2" w:rsidRDefault="00940AE5" w:rsidP="00037B45">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shd w:val="clear" w:color="auto" w:fill="FFFFFF"/>
          </w:tcPr>
          <w:p w:rsidR="00940AE5" w:rsidRPr="009A10F2" w:rsidRDefault="00940AE5" w:rsidP="00037B45">
            <w:pPr>
              <w:spacing w:beforeLines="60" w:afterLines="60"/>
              <w:rPr>
                <w:rFonts w:ascii="Verdana" w:hAnsi="Verdana" w:cs="Arial"/>
                <w:sz w:val="20"/>
                <w:szCs w:val="20"/>
              </w:rPr>
            </w:pPr>
          </w:p>
        </w:tc>
      </w:tr>
      <w:tr w:rsidR="00940AE5" w:rsidRPr="009A10F2" w:rsidTr="00E30E0E">
        <w:trPr>
          <w:cantSplit/>
          <w:trHeight w:val="500"/>
        </w:trPr>
        <w:tc>
          <w:tcPr>
            <w:tcW w:w="314" w:type="pct"/>
          </w:tcPr>
          <w:p w:rsidR="00940AE5" w:rsidRPr="009A10F2" w:rsidRDefault="00940AE5" w:rsidP="00037B45">
            <w:pPr>
              <w:spacing w:beforeLines="60" w:afterLines="60"/>
              <w:rPr>
                <w:rFonts w:ascii="Verdana" w:hAnsi="Verdana" w:cs="Arial"/>
                <w:sz w:val="16"/>
                <w:szCs w:val="16"/>
              </w:rPr>
            </w:pPr>
          </w:p>
        </w:tc>
        <w:tc>
          <w:tcPr>
            <w:tcW w:w="380" w:type="pct"/>
          </w:tcPr>
          <w:p w:rsidR="00940AE5" w:rsidRPr="009A10F2" w:rsidRDefault="00A92B26" w:rsidP="00037B45">
            <w:pPr>
              <w:spacing w:beforeLines="60" w:afterLines="60"/>
              <w:rPr>
                <w:rFonts w:ascii="Verdana" w:hAnsi="Verdana" w:cs="Arial"/>
                <w:i/>
                <w:sz w:val="16"/>
                <w:szCs w:val="16"/>
              </w:rPr>
            </w:pPr>
            <w:r>
              <w:rPr>
                <w:rFonts w:ascii="Verdana" w:hAnsi="Verdana" w:cs="Arial"/>
                <w:i/>
                <w:sz w:val="16"/>
                <w:szCs w:val="16"/>
              </w:rPr>
              <w:t>Abolish</w:t>
            </w:r>
          </w:p>
        </w:tc>
        <w:tc>
          <w:tcPr>
            <w:tcW w:w="4306" w:type="pct"/>
            <w:vMerge/>
            <w:shd w:val="clear" w:color="auto" w:fill="FFFFFF"/>
          </w:tcPr>
          <w:p w:rsidR="00940AE5" w:rsidRPr="009A10F2" w:rsidRDefault="00940AE5" w:rsidP="00037B45">
            <w:pPr>
              <w:spacing w:beforeLines="60" w:afterLines="60"/>
              <w:rPr>
                <w:rFonts w:ascii="Verdana" w:hAnsi="Verdana" w:cs="Arial"/>
                <w:sz w:val="20"/>
                <w:szCs w:val="20"/>
              </w:rPr>
            </w:pPr>
          </w:p>
        </w:tc>
      </w:tr>
      <w:tr w:rsidR="00690BB4" w:rsidRPr="009A10F2" w:rsidTr="00690BB4">
        <w:trPr>
          <w:cantSplit/>
        </w:trPr>
        <w:tc>
          <w:tcPr>
            <w:tcW w:w="5000" w:type="pct"/>
            <w:gridSpan w:val="3"/>
            <w:shd w:val="pct10" w:color="auto" w:fill="auto"/>
          </w:tcPr>
          <w:p w:rsidR="00690BB4" w:rsidRPr="00635614" w:rsidRDefault="00690BB4" w:rsidP="00037B45">
            <w:pPr>
              <w:spacing w:beforeLines="60" w:afterLines="60"/>
              <w:ind w:left="720"/>
              <w:rPr>
                <w:rFonts w:ascii="Verdana" w:hAnsi="Verdana" w:cs="Arial"/>
                <w:sz w:val="20"/>
                <w:szCs w:val="20"/>
              </w:rPr>
            </w:pPr>
            <w:r>
              <w:rPr>
                <w:rFonts w:ascii="Verdana" w:hAnsi="Verdana"/>
                <w:b/>
                <w:bCs/>
                <w:i/>
                <w:iCs/>
                <w:sz w:val="20"/>
                <w:szCs w:val="20"/>
              </w:rPr>
              <w:t>Mitigation</w:t>
            </w:r>
          </w:p>
        </w:tc>
      </w:tr>
      <w:tr w:rsidR="00276DFA" w:rsidRPr="009A10F2" w:rsidTr="004B13C5">
        <w:trPr>
          <w:cantSplit/>
          <w:trHeight w:val="630"/>
        </w:trPr>
        <w:tc>
          <w:tcPr>
            <w:tcW w:w="314" w:type="pct"/>
          </w:tcPr>
          <w:p w:rsidR="00276DFA" w:rsidRPr="009A10F2" w:rsidRDefault="00276DFA" w:rsidP="00037B45">
            <w:pPr>
              <w:spacing w:beforeLines="60" w:afterLines="60"/>
              <w:jc w:val="center"/>
              <w:rPr>
                <w:rFonts w:ascii="Verdana" w:hAnsi="Verdana" w:cs="Arial"/>
                <w:sz w:val="16"/>
                <w:szCs w:val="16"/>
              </w:rPr>
            </w:pPr>
          </w:p>
        </w:tc>
        <w:tc>
          <w:tcPr>
            <w:tcW w:w="380" w:type="pct"/>
          </w:tcPr>
          <w:p w:rsidR="00276DFA" w:rsidRPr="009A10F2" w:rsidRDefault="00276DFA" w:rsidP="00037B45">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820AB1" w:rsidRDefault="00820AB1" w:rsidP="00037B45">
            <w:pPr>
              <w:autoSpaceDE w:val="0"/>
              <w:autoSpaceDN w:val="0"/>
              <w:adjustRightInd w:val="0"/>
              <w:spacing w:beforeLines="60" w:afterLines="60"/>
              <w:rPr>
                <w:rFonts w:ascii="Verdana" w:hAnsi="Verdana" w:cs="Arial"/>
                <w:sz w:val="20"/>
                <w:szCs w:val="20"/>
              </w:rPr>
            </w:pPr>
            <w:r w:rsidRPr="00820AB1">
              <w:rPr>
                <w:rFonts w:ascii="Verdana" w:hAnsi="Verdana" w:cs="Arial"/>
                <w:b/>
                <w:bCs/>
                <w:sz w:val="20"/>
                <w:szCs w:val="20"/>
              </w:rPr>
              <w:t xml:space="preserve">Flood Mitigation Assistance Program </w:t>
            </w:r>
            <w:r w:rsidRPr="00820AB1">
              <w:rPr>
                <w:rFonts w:ascii="Verdana" w:hAnsi="Verdana" w:cs="Arial"/>
                <w:sz w:val="20"/>
                <w:szCs w:val="20"/>
              </w:rPr>
              <w:t xml:space="preserve">- The purpose of this program is to reduce or eliminate the long-term risk of flood damage to buildings, manufactured homes, and other structures insured under the National Flood Insurance Program. Assistance is awarded whether the structure is a repetitive loss or not, thus any insured structure with one or more losses is eligible for assistance. Only the state emergency management agency or agency holding floodplain management responsibility for the state as well as federally recognized tribal governments may apply to FEMA for funding under this program. Mitigation grants under this program are only awarded to tribal governments or to states which in turn award sub-grants to local governments. Private individuals and private non-profit organizations are not eligible for sub-grant awards; however, state and local governments can apply for projects on their behalf. DEM provides technical assistance to local government applicants relating to application completion, cost-benefit analysis, and appeals assistance for projects that may not have been approved by FEMA </w:t>
            </w:r>
          </w:p>
          <w:p w:rsidR="00276DFA" w:rsidRPr="009A10F2" w:rsidRDefault="004B28B9" w:rsidP="00037B45">
            <w:pPr>
              <w:autoSpaceDE w:val="0"/>
              <w:autoSpaceDN w:val="0"/>
              <w:adjustRightInd w:val="0"/>
              <w:spacing w:beforeLines="60" w:afterLines="60"/>
              <w:rPr>
                <w:rFonts w:ascii="Verdana" w:hAnsi="Verdana" w:cs="Arial"/>
                <w:sz w:val="20"/>
                <w:szCs w:val="20"/>
              </w:rPr>
            </w:pPr>
            <w:r>
              <w:rPr>
                <w:rFonts w:ascii="Verdana" w:hAnsi="Verdana" w:cs="Arial"/>
                <w:i/>
                <w:iCs/>
                <w:sz w:val="20"/>
                <w:szCs w:val="20"/>
              </w:rPr>
              <w:t>Funding Information:</w:t>
            </w:r>
          </w:p>
        </w:tc>
      </w:tr>
      <w:tr w:rsidR="00276DFA" w:rsidRPr="009A10F2" w:rsidTr="004B13C5">
        <w:trPr>
          <w:cantSplit/>
          <w:trHeight w:val="630"/>
        </w:trPr>
        <w:tc>
          <w:tcPr>
            <w:tcW w:w="314" w:type="pct"/>
          </w:tcPr>
          <w:p w:rsidR="00276DFA" w:rsidRPr="009A10F2" w:rsidRDefault="00276DFA" w:rsidP="00037B45">
            <w:pPr>
              <w:spacing w:beforeLines="60" w:afterLines="60"/>
              <w:rPr>
                <w:rFonts w:ascii="Verdana" w:hAnsi="Verdana" w:cs="Arial"/>
                <w:sz w:val="16"/>
                <w:szCs w:val="16"/>
              </w:rPr>
            </w:pPr>
          </w:p>
        </w:tc>
        <w:tc>
          <w:tcPr>
            <w:tcW w:w="380" w:type="pct"/>
          </w:tcPr>
          <w:p w:rsidR="00276DFA" w:rsidRPr="009A10F2" w:rsidRDefault="00276DFA" w:rsidP="00037B45">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276DFA" w:rsidRPr="009A10F2" w:rsidRDefault="00276DFA" w:rsidP="00037B45">
            <w:pPr>
              <w:autoSpaceDE w:val="0"/>
              <w:autoSpaceDN w:val="0"/>
              <w:adjustRightInd w:val="0"/>
              <w:spacing w:beforeLines="60" w:afterLines="60"/>
              <w:rPr>
                <w:rFonts w:ascii="Verdana" w:hAnsi="Verdana" w:cs="Arial"/>
                <w:sz w:val="20"/>
                <w:szCs w:val="20"/>
              </w:rPr>
            </w:pPr>
          </w:p>
        </w:tc>
      </w:tr>
      <w:tr w:rsidR="00276DFA" w:rsidRPr="009A10F2" w:rsidTr="004B13C5">
        <w:trPr>
          <w:cantSplit/>
          <w:trHeight w:val="630"/>
        </w:trPr>
        <w:tc>
          <w:tcPr>
            <w:tcW w:w="314" w:type="pct"/>
          </w:tcPr>
          <w:p w:rsidR="00276DFA" w:rsidRPr="009A10F2" w:rsidRDefault="00276DFA" w:rsidP="00037B45">
            <w:pPr>
              <w:spacing w:beforeLines="60" w:afterLines="60"/>
              <w:rPr>
                <w:rFonts w:ascii="Verdana" w:hAnsi="Verdana" w:cs="Arial"/>
                <w:sz w:val="16"/>
                <w:szCs w:val="16"/>
              </w:rPr>
            </w:pPr>
          </w:p>
        </w:tc>
        <w:tc>
          <w:tcPr>
            <w:tcW w:w="380" w:type="pct"/>
          </w:tcPr>
          <w:p w:rsidR="00276DFA" w:rsidRPr="009A10F2" w:rsidRDefault="00276DFA" w:rsidP="00037B45">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276DFA" w:rsidRPr="009A10F2" w:rsidRDefault="00276DFA" w:rsidP="00037B45">
            <w:pPr>
              <w:autoSpaceDE w:val="0"/>
              <w:autoSpaceDN w:val="0"/>
              <w:adjustRightInd w:val="0"/>
              <w:spacing w:beforeLines="60" w:afterLines="60"/>
              <w:rPr>
                <w:rFonts w:ascii="Verdana" w:hAnsi="Verdana" w:cs="Arial"/>
                <w:sz w:val="20"/>
                <w:szCs w:val="20"/>
              </w:rPr>
            </w:pPr>
          </w:p>
        </w:tc>
      </w:tr>
      <w:tr w:rsidR="0096734F" w:rsidRPr="009A10F2" w:rsidTr="004B13C5">
        <w:trPr>
          <w:cantSplit/>
          <w:trHeight w:val="385"/>
        </w:trPr>
        <w:tc>
          <w:tcPr>
            <w:tcW w:w="314" w:type="pct"/>
          </w:tcPr>
          <w:p w:rsidR="0096734F" w:rsidRPr="009A10F2" w:rsidRDefault="0096734F" w:rsidP="00037B45">
            <w:pPr>
              <w:spacing w:beforeLines="60" w:afterLines="60"/>
              <w:jc w:val="center"/>
              <w:rPr>
                <w:rFonts w:ascii="Verdana" w:hAnsi="Verdana" w:cs="Arial"/>
                <w:sz w:val="16"/>
                <w:szCs w:val="16"/>
              </w:rPr>
            </w:pPr>
          </w:p>
        </w:tc>
        <w:tc>
          <w:tcPr>
            <w:tcW w:w="380" w:type="pct"/>
          </w:tcPr>
          <w:p w:rsidR="0096734F" w:rsidRPr="009A10F2" w:rsidRDefault="0096734F" w:rsidP="00037B45">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820AB1" w:rsidRDefault="00820AB1" w:rsidP="00037B45">
            <w:pPr>
              <w:autoSpaceDE w:val="0"/>
              <w:autoSpaceDN w:val="0"/>
              <w:adjustRightInd w:val="0"/>
              <w:spacing w:beforeLines="60" w:afterLines="60"/>
              <w:rPr>
                <w:rFonts w:ascii="Verdana" w:hAnsi="Verdana" w:cs="Arial"/>
                <w:sz w:val="20"/>
                <w:szCs w:val="20"/>
              </w:rPr>
            </w:pPr>
            <w:r w:rsidRPr="00820AB1">
              <w:rPr>
                <w:rFonts w:ascii="Verdana" w:hAnsi="Verdana" w:cs="Arial"/>
                <w:b/>
                <w:bCs/>
                <w:sz w:val="20"/>
                <w:szCs w:val="20"/>
              </w:rPr>
              <w:t xml:space="preserve">Hazard Mitigation Grant Program </w:t>
            </w:r>
            <w:r w:rsidRPr="00820AB1">
              <w:rPr>
                <w:rFonts w:ascii="Verdana" w:hAnsi="Verdana" w:cs="Arial"/>
                <w:sz w:val="20"/>
                <w:szCs w:val="20"/>
              </w:rPr>
              <w:t xml:space="preserve">- This program is designed to assist states, local governments, private non-profit organizations, and tribal governments in implementing long-term hazard mitigation measures following a major disaster declaration. The objective of HMGP is to mitigate loss rather than perpetuate a cycle of damage, reconstruction, and </w:t>
            </w:r>
            <w:r w:rsidRPr="00820AB1">
              <w:rPr>
                <w:rFonts w:ascii="Verdana" w:hAnsi="Verdana" w:cs="Arial"/>
                <w:sz w:val="20"/>
                <w:szCs w:val="20"/>
              </w:rPr>
              <w:lastRenderedPageBreak/>
              <w:t xml:space="preserve">repeated damage. Although federally funded, the HMGP is administered by the state. HMGP priorities are set by the state under each disaster declaration that includes HMGP assistance authorization. </w:t>
            </w:r>
          </w:p>
          <w:p w:rsidR="00820AB1" w:rsidRPr="00820AB1" w:rsidRDefault="00820AB1" w:rsidP="00037B45">
            <w:pPr>
              <w:autoSpaceDE w:val="0"/>
              <w:autoSpaceDN w:val="0"/>
              <w:adjustRightInd w:val="0"/>
              <w:spacing w:beforeLines="60" w:afterLines="60"/>
              <w:rPr>
                <w:rFonts w:ascii="Verdana" w:hAnsi="Verdana" w:cs="Arial"/>
                <w:sz w:val="20"/>
                <w:szCs w:val="20"/>
              </w:rPr>
            </w:pPr>
            <w:r w:rsidRPr="00820AB1">
              <w:rPr>
                <w:rFonts w:ascii="Verdana" w:hAnsi="Verdana" w:cs="Arial"/>
                <w:sz w:val="20"/>
                <w:szCs w:val="20"/>
              </w:rPr>
              <w:t xml:space="preserve">DEM is the lead state administrative agency for this federal program and is supported by the Divisions of Housing and Community Development and Community Planning as well as the Florida Housing Finance Corporation, the Florida Coastal Management Program, and the Communities Trust Program. In this capacity DEM: </w:t>
            </w:r>
          </w:p>
          <w:p w:rsidR="00820AB1" w:rsidRDefault="00820AB1" w:rsidP="00037B45">
            <w:pPr>
              <w:autoSpaceDE w:val="0"/>
              <w:autoSpaceDN w:val="0"/>
              <w:adjustRightInd w:val="0"/>
              <w:spacing w:beforeLines="60" w:afterLines="60"/>
              <w:rPr>
                <w:rFonts w:ascii="Verdana" w:hAnsi="Verdana" w:cs="Arial"/>
                <w:sz w:val="20"/>
                <w:szCs w:val="20"/>
              </w:rPr>
            </w:pPr>
            <w:r w:rsidRPr="00820AB1">
              <w:rPr>
                <w:rFonts w:ascii="Verdana" w:hAnsi="Verdana" w:cs="Arial"/>
                <w:sz w:val="20"/>
                <w:szCs w:val="20"/>
              </w:rPr>
              <w:t xml:space="preserve">Solicits and reviews HMGP applicant proposals; Prepares and submits proposals to FEMA; and Manages the HMGP and funds available under the program. </w:t>
            </w:r>
          </w:p>
          <w:p w:rsidR="00632E27" w:rsidRPr="00632E27" w:rsidRDefault="00632E27" w:rsidP="00037B45">
            <w:pPr>
              <w:autoSpaceDE w:val="0"/>
              <w:autoSpaceDN w:val="0"/>
              <w:adjustRightInd w:val="0"/>
              <w:spacing w:beforeLines="60" w:afterLines="60"/>
              <w:rPr>
                <w:rFonts w:ascii="Verdana" w:hAnsi="Verdana" w:cs="Arial"/>
                <w:sz w:val="20"/>
                <w:szCs w:val="20"/>
              </w:rPr>
            </w:pPr>
            <w:r>
              <w:rPr>
                <w:rFonts w:ascii="Verdana" w:hAnsi="Verdana" w:cs="Arial"/>
                <w:sz w:val="20"/>
                <w:szCs w:val="20"/>
              </w:rPr>
              <w:t xml:space="preserve">*** </w:t>
            </w:r>
            <w:r w:rsidRPr="00632E27">
              <w:rPr>
                <w:rFonts w:ascii="Verdana" w:hAnsi="Verdana" w:cs="Arial"/>
                <w:sz w:val="20"/>
                <w:szCs w:val="20"/>
              </w:rPr>
              <w:t>There are three major programs whose focus is residential mitigation.  The Division of Emergency Management administers several federal and state programs designed to reduce or eliminate long-term risk to human life and property from disasters by reducing the impact of future disasters. DEM also provides funding to Tallahassee Community College to operate the Mobile Home Tie-Down Program.   The Department of Financial Services also has a hazard mitigation program.</w:t>
            </w:r>
          </w:p>
          <w:p w:rsidR="0096734F" w:rsidRPr="009A10F2" w:rsidRDefault="004B28B9" w:rsidP="00037B45">
            <w:pPr>
              <w:autoSpaceDE w:val="0"/>
              <w:autoSpaceDN w:val="0"/>
              <w:adjustRightInd w:val="0"/>
              <w:spacing w:beforeLines="60" w:afterLines="60"/>
              <w:rPr>
                <w:rFonts w:ascii="Verdana" w:hAnsi="Verdana" w:cs="Arial"/>
                <w:sz w:val="20"/>
                <w:szCs w:val="20"/>
              </w:rPr>
            </w:pPr>
            <w:r>
              <w:rPr>
                <w:rFonts w:ascii="Verdana" w:hAnsi="Verdana" w:cs="Arial"/>
                <w:i/>
                <w:iCs/>
                <w:sz w:val="20"/>
                <w:szCs w:val="20"/>
              </w:rPr>
              <w:t>Funding Information:</w:t>
            </w:r>
          </w:p>
        </w:tc>
      </w:tr>
      <w:tr w:rsidR="0096734F" w:rsidRPr="009A10F2" w:rsidTr="004B13C5">
        <w:trPr>
          <w:cantSplit/>
          <w:trHeight w:val="385"/>
        </w:trPr>
        <w:tc>
          <w:tcPr>
            <w:tcW w:w="314" w:type="pct"/>
          </w:tcPr>
          <w:p w:rsidR="0096734F" w:rsidRPr="009A10F2" w:rsidRDefault="0096734F" w:rsidP="00037B45">
            <w:pPr>
              <w:spacing w:beforeLines="60" w:afterLines="60"/>
              <w:rPr>
                <w:rFonts w:ascii="Verdana" w:hAnsi="Verdana" w:cs="Arial"/>
                <w:sz w:val="16"/>
                <w:szCs w:val="16"/>
              </w:rPr>
            </w:pPr>
          </w:p>
        </w:tc>
        <w:tc>
          <w:tcPr>
            <w:tcW w:w="380" w:type="pct"/>
          </w:tcPr>
          <w:p w:rsidR="0096734F" w:rsidRPr="009A10F2" w:rsidRDefault="0096734F" w:rsidP="00037B45">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96734F" w:rsidRPr="009A10F2" w:rsidRDefault="0096734F" w:rsidP="00037B45">
            <w:pPr>
              <w:autoSpaceDE w:val="0"/>
              <w:autoSpaceDN w:val="0"/>
              <w:adjustRightInd w:val="0"/>
              <w:spacing w:beforeLines="60" w:afterLines="60"/>
              <w:rPr>
                <w:rFonts w:ascii="Verdana" w:hAnsi="Verdana" w:cs="Arial"/>
                <w:sz w:val="20"/>
                <w:szCs w:val="20"/>
              </w:rPr>
            </w:pPr>
          </w:p>
        </w:tc>
      </w:tr>
      <w:tr w:rsidR="0096734F" w:rsidRPr="009A10F2" w:rsidTr="004B13C5">
        <w:trPr>
          <w:cantSplit/>
          <w:trHeight w:val="385"/>
        </w:trPr>
        <w:tc>
          <w:tcPr>
            <w:tcW w:w="314" w:type="pct"/>
          </w:tcPr>
          <w:p w:rsidR="0096734F" w:rsidRPr="009A10F2" w:rsidRDefault="0096734F" w:rsidP="00037B45">
            <w:pPr>
              <w:spacing w:beforeLines="60" w:afterLines="60"/>
              <w:rPr>
                <w:rFonts w:ascii="Verdana" w:hAnsi="Verdana" w:cs="Arial"/>
                <w:sz w:val="16"/>
                <w:szCs w:val="16"/>
              </w:rPr>
            </w:pPr>
          </w:p>
        </w:tc>
        <w:tc>
          <w:tcPr>
            <w:tcW w:w="380" w:type="pct"/>
          </w:tcPr>
          <w:p w:rsidR="0096734F" w:rsidRPr="009A10F2" w:rsidRDefault="0096734F" w:rsidP="00037B45">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96734F" w:rsidRPr="009A10F2" w:rsidRDefault="0096734F" w:rsidP="00037B45">
            <w:pPr>
              <w:autoSpaceDE w:val="0"/>
              <w:autoSpaceDN w:val="0"/>
              <w:adjustRightInd w:val="0"/>
              <w:spacing w:beforeLines="60" w:afterLines="60"/>
              <w:rPr>
                <w:rFonts w:ascii="Verdana" w:hAnsi="Verdana" w:cs="Arial"/>
                <w:sz w:val="20"/>
                <w:szCs w:val="20"/>
              </w:rPr>
            </w:pPr>
          </w:p>
        </w:tc>
      </w:tr>
      <w:tr w:rsidR="0096734F" w:rsidRPr="009A10F2" w:rsidTr="004B13C5">
        <w:trPr>
          <w:cantSplit/>
          <w:trHeight w:val="470"/>
        </w:trPr>
        <w:tc>
          <w:tcPr>
            <w:tcW w:w="314" w:type="pct"/>
          </w:tcPr>
          <w:p w:rsidR="0096734F" w:rsidRPr="009A10F2" w:rsidRDefault="0096734F" w:rsidP="00037B45">
            <w:pPr>
              <w:autoSpaceDE w:val="0"/>
              <w:autoSpaceDN w:val="0"/>
              <w:adjustRightInd w:val="0"/>
              <w:spacing w:beforeLines="60" w:afterLines="60"/>
              <w:jc w:val="center"/>
              <w:rPr>
                <w:rFonts w:ascii="Verdana" w:hAnsi="Verdana" w:cs="Arial"/>
                <w:sz w:val="16"/>
                <w:szCs w:val="16"/>
              </w:rPr>
            </w:pPr>
          </w:p>
        </w:tc>
        <w:tc>
          <w:tcPr>
            <w:tcW w:w="380" w:type="pct"/>
          </w:tcPr>
          <w:p w:rsidR="0096734F" w:rsidRPr="009A10F2" w:rsidRDefault="0096734F" w:rsidP="00037B45">
            <w:pPr>
              <w:autoSpaceDE w:val="0"/>
              <w:autoSpaceDN w:val="0"/>
              <w:adjustRightInd w:val="0"/>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820AB1" w:rsidRDefault="00820AB1" w:rsidP="00037B45">
            <w:pPr>
              <w:autoSpaceDE w:val="0"/>
              <w:autoSpaceDN w:val="0"/>
              <w:adjustRightInd w:val="0"/>
              <w:spacing w:beforeLines="60" w:afterLines="60"/>
              <w:rPr>
                <w:rFonts w:ascii="Verdana" w:hAnsi="Verdana" w:cs="Arial"/>
                <w:sz w:val="20"/>
                <w:szCs w:val="20"/>
              </w:rPr>
            </w:pPr>
            <w:r w:rsidRPr="00820AB1">
              <w:rPr>
                <w:rFonts w:ascii="Verdana" w:hAnsi="Verdana" w:cs="Arial"/>
                <w:b/>
                <w:bCs/>
                <w:sz w:val="20"/>
                <w:szCs w:val="20"/>
              </w:rPr>
              <w:t xml:space="preserve">National Flood Insurance Program </w:t>
            </w:r>
            <w:r w:rsidRPr="00820AB1">
              <w:rPr>
                <w:rFonts w:ascii="Verdana" w:hAnsi="Verdana" w:cs="Arial"/>
                <w:sz w:val="20"/>
                <w:szCs w:val="20"/>
              </w:rPr>
              <w:t>- The National Flood Insurance Program (NFIP) is a pre-disaster flood mitigation and insurance protection program. The NFIP is a voluntary program which makes federally back flood insurance available to residents and business owners in communities that agrees to adopt and adhere to sound flood mitigation measures that guide development in its floodplains. NFIP participation is a requirement for a number of federal flood mitigation grant programs. The Governor has designated DEM as the state coordinating agency for the NFIP.</w:t>
            </w:r>
          </w:p>
          <w:p w:rsidR="0096734F" w:rsidRPr="009A10F2" w:rsidRDefault="004B28B9" w:rsidP="00037B45">
            <w:pPr>
              <w:autoSpaceDE w:val="0"/>
              <w:autoSpaceDN w:val="0"/>
              <w:adjustRightInd w:val="0"/>
              <w:spacing w:beforeLines="60" w:afterLines="60"/>
              <w:rPr>
                <w:rFonts w:ascii="Verdana" w:hAnsi="Verdana" w:cs="Arial"/>
                <w:sz w:val="20"/>
                <w:szCs w:val="20"/>
              </w:rPr>
            </w:pPr>
            <w:r>
              <w:rPr>
                <w:rFonts w:ascii="Verdana" w:hAnsi="Verdana" w:cs="Arial"/>
                <w:i/>
                <w:iCs/>
                <w:sz w:val="20"/>
                <w:szCs w:val="20"/>
              </w:rPr>
              <w:t>Funding Information:</w:t>
            </w:r>
          </w:p>
        </w:tc>
      </w:tr>
      <w:tr w:rsidR="0096734F" w:rsidRPr="009A10F2" w:rsidTr="004B13C5">
        <w:trPr>
          <w:cantSplit/>
          <w:trHeight w:val="470"/>
        </w:trPr>
        <w:tc>
          <w:tcPr>
            <w:tcW w:w="314" w:type="pct"/>
          </w:tcPr>
          <w:p w:rsidR="0096734F" w:rsidRPr="009A10F2" w:rsidRDefault="0096734F" w:rsidP="00037B45">
            <w:pPr>
              <w:autoSpaceDE w:val="0"/>
              <w:autoSpaceDN w:val="0"/>
              <w:adjustRightInd w:val="0"/>
              <w:spacing w:beforeLines="60" w:afterLines="60"/>
              <w:rPr>
                <w:rFonts w:ascii="Verdana" w:hAnsi="Verdana" w:cs="Arial"/>
                <w:sz w:val="16"/>
                <w:szCs w:val="16"/>
              </w:rPr>
            </w:pPr>
          </w:p>
        </w:tc>
        <w:tc>
          <w:tcPr>
            <w:tcW w:w="380" w:type="pct"/>
          </w:tcPr>
          <w:p w:rsidR="0096734F" w:rsidRPr="009A10F2" w:rsidRDefault="0096734F" w:rsidP="00037B45">
            <w:pPr>
              <w:autoSpaceDE w:val="0"/>
              <w:autoSpaceDN w:val="0"/>
              <w:adjustRightInd w:val="0"/>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96734F" w:rsidRPr="009A10F2" w:rsidRDefault="0096734F" w:rsidP="00037B45">
            <w:pPr>
              <w:autoSpaceDE w:val="0"/>
              <w:autoSpaceDN w:val="0"/>
              <w:adjustRightInd w:val="0"/>
              <w:spacing w:beforeLines="60" w:afterLines="60"/>
              <w:rPr>
                <w:rFonts w:ascii="Verdana" w:hAnsi="Verdana" w:cs="Arial"/>
                <w:sz w:val="20"/>
                <w:szCs w:val="20"/>
              </w:rPr>
            </w:pPr>
          </w:p>
        </w:tc>
      </w:tr>
      <w:tr w:rsidR="0096734F" w:rsidRPr="009A10F2" w:rsidTr="004B13C5">
        <w:trPr>
          <w:cantSplit/>
          <w:trHeight w:val="470"/>
        </w:trPr>
        <w:tc>
          <w:tcPr>
            <w:tcW w:w="314" w:type="pct"/>
          </w:tcPr>
          <w:p w:rsidR="0096734F" w:rsidRPr="009A10F2" w:rsidRDefault="0096734F" w:rsidP="00037B45">
            <w:pPr>
              <w:autoSpaceDE w:val="0"/>
              <w:autoSpaceDN w:val="0"/>
              <w:adjustRightInd w:val="0"/>
              <w:spacing w:beforeLines="60" w:afterLines="60"/>
              <w:rPr>
                <w:rFonts w:ascii="Verdana" w:hAnsi="Verdana" w:cs="Arial"/>
                <w:sz w:val="16"/>
                <w:szCs w:val="16"/>
              </w:rPr>
            </w:pPr>
          </w:p>
        </w:tc>
        <w:tc>
          <w:tcPr>
            <w:tcW w:w="380" w:type="pct"/>
          </w:tcPr>
          <w:p w:rsidR="0096734F" w:rsidRPr="009A10F2" w:rsidRDefault="0096734F" w:rsidP="00037B45">
            <w:pPr>
              <w:autoSpaceDE w:val="0"/>
              <w:autoSpaceDN w:val="0"/>
              <w:adjustRightInd w:val="0"/>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96734F" w:rsidRPr="009A10F2" w:rsidRDefault="0096734F" w:rsidP="00037B45">
            <w:pPr>
              <w:autoSpaceDE w:val="0"/>
              <w:autoSpaceDN w:val="0"/>
              <w:adjustRightInd w:val="0"/>
              <w:spacing w:beforeLines="60" w:afterLines="60"/>
              <w:rPr>
                <w:rFonts w:ascii="Verdana" w:hAnsi="Verdana" w:cs="Arial"/>
                <w:sz w:val="20"/>
                <w:szCs w:val="20"/>
              </w:rPr>
            </w:pPr>
          </w:p>
        </w:tc>
      </w:tr>
      <w:tr w:rsidR="0096734F" w:rsidRPr="009A10F2" w:rsidTr="004B13C5">
        <w:trPr>
          <w:cantSplit/>
          <w:trHeight w:val="470"/>
        </w:trPr>
        <w:tc>
          <w:tcPr>
            <w:tcW w:w="314" w:type="pct"/>
          </w:tcPr>
          <w:p w:rsidR="0096734F" w:rsidRPr="009A10F2" w:rsidRDefault="0096734F" w:rsidP="00037B45">
            <w:pPr>
              <w:spacing w:beforeLines="60" w:afterLines="60"/>
              <w:jc w:val="center"/>
              <w:rPr>
                <w:rFonts w:ascii="Verdana" w:hAnsi="Verdana" w:cs="Arial"/>
                <w:sz w:val="16"/>
                <w:szCs w:val="16"/>
              </w:rPr>
            </w:pPr>
          </w:p>
        </w:tc>
        <w:tc>
          <w:tcPr>
            <w:tcW w:w="380" w:type="pct"/>
          </w:tcPr>
          <w:p w:rsidR="0096734F" w:rsidRPr="009A10F2" w:rsidRDefault="0096734F" w:rsidP="00037B45">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820AB1" w:rsidRDefault="00820AB1" w:rsidP="00037B45">
            <w:pPr>
              <w:autoSpaceDE w:val="0"/>
              <w:autoSpaceDN w:val="0"/>
              <w:adjustRightInd w:val="0"/>
              <w:spacing w:beforeLines="60" w:afterLines="60"/>
              <w:rPr>
                <w:rFonts w:ascii="Verdana" w:hAnsi="Verdana" w:cs="Arial"/>
                <w:sz w:val="20"/>
                <w:szCs w:val="20"/>
              </w:rPr>
            </w:pPr>
            <w:r w:rsidRPr="00820AB1">
              <w:rPr>
                <w:rFonts w:ascii="Verdana" w:hAnsi="Verdana" w:cs="Arial"/>
                <w:b/>
                <w:bCs/>
                <w:sz w:val="20"/>
                <w:szCs w:val="20"/>
              </w:rPr>
              <w:t xml:space="preserve">Pre-Disaster Mitigation Program </w:t>
            </w:r>
            <w:r w:rsidRPr="00820AB1">
              <w:rPr>
                <w:rFonts w:ascii="Verdana" w:hAnsi="Verdana" w:cs="Arial"/>
                <w:sz w:val="20"/>
                <w:szCs w:val="20"/>
              </w:rPr>
              <w:t>- The Pre-Disaster Mitigation Program is a competitive federal grant program developed to assist state, local, and tribal governments in planning and implementing cost-effective hazard mitigation activities prior to disasters. Grant awards are made to applicants without reference to state allocations, quotas, or other formula-based allocations of funds. The intent of the program is to reduce overall risk to people and property while also minimizing the cost of disaster recovery. Only the state emergency management agency or a similar office assigned the primary responsibility of emergency management may apply to FEMA for funding under this program. DEM reviews submitted projects to verify appropriateness, consistency with state and local mitigation strategies, cost-benefit, eligibility, and completeness before submitting the project to FEMA.</w:t>
            </w:r>
          </w:p>
          <w:p w:rsidR="004B13C5" w:rsidRPr="009A10F2" w:rsidRDefault="004B28B9" w:rsidP="00037B45">
            <w:pPr>
              <w:autoSpaceDE w:val="0"/>
              <w:autoSpaceDN w:val="0"/>
              <w:adjustRightInd w:val="0"/>
              <w:spacing w:beforeLines="60" w:afterLines="60"/>
              <w:rPr>
                <w:rFonts w:ascii="Verdana" w:hAnsi="Verdana" w:cs="Arial"/>
                <w:sz w:val="20"/>
                <w:szCs w:val="20"/>
              </w:rPr>
            </w:pPr>
            <w:r>
              <w:rPr>
                <w:rFonts w:ascii="Verdana" w:hAnsi="Verdana" w:cs="Arial"/>
                <w:i/>
                <w:iCs/>
                <w:sz w:val="20"/>
                <w:szCs w:val="20"/>
              </w:rPr>
              <w:t>Funding Information:</w:t>
            </w:r>
          </w:p>
        </w:tc>
      </w:tr>
      <w:tr w:rsidR="0096734F" w:rsidRPr="009A10F2" w:rsidTr="004B13C5">
        <w:trPr>
          <w:cantSplit/>
          <w:trHeight w:val="470"/>
        </w:trPr>
        <w:tc>
          <w:tcPr>
            <w:tcW w:w="314" w:type="pct"/>
          </w:tcPr>
          <w:p w:rsidR="0096734F" w:rsidRPr="009A10F2" w:rsidRDefault="0096734F" w:rsidP="00037B45">
            <w:pPr>
              <w:spacing w:beforeLines="60" w:afterLines="60"/>
              <w:rPr>
                <w:rFonts w:ascii="Verdana" w:hAnsi="Verdana" w:cs="Arial"/>
                <w:sz w:val="16"/>
                <w:szCs w:val="16"/>
              </w:rPr>
            </w:pPr>
          </w:p>
        </w:tc>
        <w:tc>
          <w:tcPr>
            <w:tcW w:w="380" w:type="pct"/>
          </w:tcPr>
          <w:p w:rsidR="0096734F" w:rsidRPr="009A10F2" w:rsidRDefault="0096734F" w:rsidP="00037B45">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96734F" w:rsidRPr="009A10F2" w:rsidRDefault="0096734F" w:rsidP="00037B45">
            <w:pPr>
              <w:autoSpaceDE w:val="0"/>
              <w:autoSpaceDN w:val="0"/>
              <w:adjustRightInd w:val="0"/>
              <w:spacing w:beforeLines="60" w:afterLines="60"/>
              <w:rPr>
                <w:rFonts w:ascii="Verdana" w:hAnsi="Verdana" w:cs="Arial"/>
                <w:sz w:val="20"/>
                <w:szCs w:val="20"/>
              </w:rPr>
            </w:pPr>
          </w:p>
        </w:tc>
      </w:tr>
      <w:tr w:rsidR="0096734F" w:rsidRPr="009A10F2" w:rsidTr="004B13C5">
        <w:trPr>
          <w:cantSplit/>
          <w:trHeight w:val="470"/>
        </w:trPr>
        <w:tc>
          <w:tcPr>
            <w:tcW w:w="314" w:type="pct"/>
          </w:tcPr>
          <w:p w:rsidR="0096734F" w:rsidRPr="009A10F2" w:rsidRDefault="0096734F" w:rsidP="00037B45">
            <w:pPr>
              <w:spacing w:beforeLines="60" w:afterLines="60"/>
              <w:rPr>
                <w:rFonts w:ascii="Verdana" w:hAnsi="Verdana" w:cs="Arial"/>
                <w:sz w:val="16"/>
                <w:szCs w:val="16"/>
              </w:rPr>
            </w:pPr>
          </w:p>
        </w:tc>
        <w:tc>
          <w:tcPr>
            <w:tcW w:w="380" w:type="pct"/>
          </w:tcPr>
          <w:p w:rsidR="0096734F" w:rsidRPr="009A10F2" w:rsidRDefault="0096734F" w:rsidP="00037B45">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96734F" w:rsidRPr="009A10F2" w:rsidRDefault="0096734F" w:rsidP="00037B45">
            <w:pPr>
              <w:autoSpaceDE w:val="0"/>
              <w:autoSpaceDN w:val="0"/>
              <w:adjustRightInd w:val="0"/>
              <w:spacing w:beforeLines="60" w:afterLines="60"/>
              <w:rPr>
                <w:rFonts w:ascii="Verdana" w:hAnsi="Verdana" w:cs="Arial"/>
                <w:sz w:val="20"/>
                <w:szCs w:val="20"/>
              </w:rPr>
            </w:pPr>
          </w:p>
        </w:tc>
      </w:tr>
      <w:tr w:rsidR="0096734F" w:rsidRPr="009A10F2" w:rsidTr="004B13C5">
        <w:trPr>
          <w:cantSplit/>
          <w:trHeight w:val="470"/>
        </w:trPr>
        <w:tc>
          <w:tcPr>
            <w:tcW w:w="314" w:type="pct"/>
          </w:tcPr>
          <w:p w:rsidR="0096734F" w:rsidRPr="009A10F2" w:rsidRDefault="0096734F" w:rsidP="00037B45">
            <w:pPr>
              <w:spacing w:beforeLines="60" w:afterLines="60"/>
              <w:jc w:val="center"/>
              <w:rPr>
                <w:rFonts w:ascii="Verdana" w:hAnsi="Verdana" w:cs="Arial"/>
                <w:sz w:val="16"/>
                <w:szCs w:val="16"/>
              </w:rPr>
            </w:pPr>
          </w:p>
        </w:tc>
        <w:tc>
          <w:tcPr>
            <w:tcW w:w="380" w:type="pct"/>
          </w:tcPr>
          <w:p w:rsidR="0096734F" w:rsidRPr="009A10F2" w:rsidRDefault="0096734F" w:rsidP="00037B45">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AA3D3E" w:rsidRDefault="00820AB1" w:rsidP="00037B45">
            <w:pPr>
              <w:autoSpaceDE w:val="0"/>
              <w:autoSpaceDN w:val="0"/>
              <w:adjustRightInd w:val="0"/>
              <w:spacing w:beforeLines="60" w:afterLines="60"/>
              <w:rPr>
                <w:rFonts w:ascii="Verdana" w:hAnsi="Verdana"/>
                <w:sz w:val="20"/>
                <w:szCs w:val="20"/>
              </w:rPr>
            </w:pPr>
            <w:r w:rsidRPr="00820AB1">
              <w:rPr>
                <w:rFonts w:ascii="Verdana" w:hAnsi="Verdana"/>
                <w:b/>
                <w:bCs/>
                <w:sz w:val="20"/>
                <w:szCs w:val="20"/>
              </w:rPr>
              <w:t xml:space="preserve">Repetitive Flood Claims </w:t>
            </w:r>
            <w:r w:rsidRPr="00820AB1">
              <w:rPr>
                <w:rFonts w:ascii="Verdana" w:hAnsi="Verdana"/>
                <w:sz w:val="20"/>
                <w:szCs w:val="20"/>
              </w:rPr>
              <w:t xml:space="preserve">- The Repetitive Flood Claims grant program provides funding to reduce or eliminate the long-term risk of flood damage to structures insured under the NFIP that have had one or more claim payments for flood damages. The goal of this program is to reduce or eliminate claims under the NFIP through mitigation. Approved applications are prioritized in the order that will result in the greatest savings to the NFIP in the shortest period of time. </w:t>
            </w:r>
          </w:p>
          <w:p w:rsidR="00BA38D1" w:rsidRPr="009A10F2" w:rsidRDefault="004B28B9" w:rsidP="00037B45">
            <w:pPr>
              <w:autoSpaceDE w:val="0"/>
              <w:autoSpaceDN w:val="0"/>
              <w:adjustRightInd w:val="0"/>
              <w:spacing w:beforeLines="60" w:afterLines="60"/>
              <w:rPr>
                <w:rFonts w:ascii="Verdana" w:hAnsi="Verdana" w:cs="Arial"/>
                <w:sz w:val="20"/>
                <w:szCs w:val="20"/>
              </w:rPr>
            </w:pPr>
            <w:r>
              <w:rPr>
                <w:rFonts w:ascii="Verdana" w:hAnsi="Verdana" w:cs="Arial"/>
                <w:i/>
                <w:iCs/>
                <w:sz w:val="20"/>
                <w:szCs w:val="20"/>
              </w:rPr>
              <w:t>Funding Information:</w:t>
            </w:r>
          </w:p>
        </w:tc>
      </w:tr>
      <w:tr w:rsidR="0096734F" w:rsidRPr="009A10F2" w:rsidTr="004B13C5">
        <w:trPr>
          <w:cantSplit/>
          <w:trHeight w:val="470"/>
        </w:trPr>
        <w:tc>
          <w:tcPr>
            <w:tcW w:w="314" w:type="pct"/>
          </w:tcPr>
          <w:p w:rsidR="0096734F" w:rsidRPr="009A10F2" w:rsidRDefault="0096734F" w:rsidP="00037B45">
            <w:pPr>
              <w:spacing w:beforeLines="60" w:afterLines="60"/>
              <w:rPr>
                <w:rFonts w:ascii="Verdana" w:hAnsi="Verdana" w:cs="Arial"/>
                <w:sz w:val="16"/>
                <w:szCs w:val="16"/>
              </w:rPr>
            </w:pPr>
          </w:p>
        </w:tc>
        <w:tc>
          <w:tcPr>
            <w:tcW w:w="380" w:type="pct"/>
          </w:tcPr>
          <w:p w:rsidR="0096734F" w:rsidRPr="009A10F2" w:rsidRDefault="0096734F" w:rsidP="00037B45">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96734F" w:rsidRPr="009A10F2" w:rsidRDefault="0096734F" w:rsidP="00037B45">
            <w:pPr>
              <w:autoSpaceDE w:val="0"/>
              <w:autoSpaceDN w:val="0"/>
              <w:adjustRightInd w:val="0"/>
              <w:spacing w:beforeLines="60" w:afterLines="60"/>
              <w:rPr>
                <w:rFonts w:ascii="Verdana" w:hAnsi="Verdana" w:cs="Arial"/>
                <w:sz w:val="20"/>
                <w:szCs w:val="20"/>
              </w:rPr>
            </w:pPr>
          </w:p>
        </w:tc>
      </w:tr>
      <w:tr w:rsidR="0096734F" w:rsidRPr="009A10F2" w:rsidTr="004B13C5">
        <w:trPr>
          <w:cantSplit/>
          <w:trHeight w:val="470"/>
        </w:trPr>
        <w:tc>
          <w:tcPr>
            <w:tcW w:w="314" w:type="pct"/>
          </w:tcPr>
          <w:p w:rsidR="0096734F" w:rsidRPr="009A10F2" w:rsidRDefault="0096734F" w:rsidP="00037B45">
            <w:pPr>
              <w:spacing w:beforeLines="60" w:afterLines="60"/>
              <w:rPr>
                <w:rFonts w:ascii="Verdana" w:hAnsi="Verdana" w:cs="Arial"/>
                <w:sz w:val="16"/>
                <w:szCs w:val="16"/>
              </w:rPr>
            </w:pPr>
          </w:p>
        </w:tc>
        <w:tc>
          <w:tcPr>
            <w:tcW w:w="380" w:type="pct"/>
          </w:tcPr>
          <w:p w:rsidR="0096734F" w:rsidRPr="009A10F2" w:rsidRDefault="0096734F" w:rsidP="00037B45">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96734F" w:rsidRPr="009A10F2" w:rsidRDefault="0096734F" w:rsidP="00037B45">
            <w:pPr>
              <w:autoSpaceDE w:val="0"/>
              <w:autoSpaceDN w:val="0"/>
              <w:adjustRightInd w:val="0"/>
              <w:spacing w:beforeLines="60" w:afterLines="60"/>
              <w:rPr>
                <w:rFonts w:ascii="Verdana" w:hAnsi="Verdana" w:cs="Arial"/>
                <w:sz w:val="20"/>
                <w:szCs w:val="20"/>
              </w:rPr>
            </w:pPr>
          </w:p>
        </w:tc>
      </w:tr>
      <w:tr w:rsidR="004B13C5" w:rsidRPr="009A10F2" w:rsidTr="004B13C5">
        <w:trPr>
          <w:cantSplit/>
          <w:trHeight w:val="193"/>
        </w:trPr>
        <w:tc>
          <w:tcPr>
            <w:tcW w:w="314" w:type="pct"/>
          </w:tcPr>
          <w:p w:rsidR="004B13C5" w:rsidRPr="009A10F2" w:rsidRDefault="004B13C5" w:rsidP="00037B45">
            <w:pPr>
              <w:spacing w:beforeLines="60" w:afterLines="60"/>
              <w:jc w:val="center"/>
              <w:rPr>
                <w:rFonts w:ascii="Verdana" w:hAnsi="Verdana" w:cs="Arial"/>
                <w:i/>
                <w:sz w:val="16"/>
                <w:szCs w:val="16"/>
              </w:rPr>
            </w:pPr>
          </w:p>
        </w:tc>
        <w:tc>
          <w:tcPr>
            <w:tcW w:w="380" w:type="pct"/>
          </w:tcPr>
          <w:p w:rsidR="004B13C5" w:rsidRPr="009A10F2" w:rsidRDefault="004B13C5" w:rsidP="00037B45">
            <w:pPr>
              <w:spacing w:beforeLines="60" w:afterLines="60"/>
              <w:rPr>
                <w:rFonts w:ascii="Verdana" w:hAnsi="Verdana" w:cs="Arial"/>
                <w:i/>
                <w:sz w:val="16"/>
                <w:szCs w:val="16"/>
              </w:rPr>
            </w:pPr>
            <w:r>
              <w:rPr>
                <w:rFonts w:ascii="Verdana" w:hAnsi="Verdana" w:cs="Arial"/>
                <w:i/>
                <w:sz w:val="16"/>
                <w:szCs w:val="16"/>
              </w:rPr>
              <w:t>Continue</w:t>
            </w:r>
          </w:p>
        </w:tc>
        <w:tc>
          <w:tcPr>
            <w:tcW w:w="4306" w:type="pct"/>
            <w:vMerge w:val="restart"/>
          </w:tcPr>
          <w:p w:rsidR="00820AB1" w:rsidRDefault="00820AB1" w:rsidP="00037B45">
            <w:pPr>
              <w:autoSpaceDE w:val="0"/>
              <w:autoSpaceDN w:val="0"/>
              <w:adjustRightInd w:val="0"/>
              <w:spacing w:beforeLines="60" w:afterLines="60"/>
              <w:rPr>
                <w:rFonts w:ascii="Verdana" w:hAnsi="Verdana" w:cs="Arial"/>
                <w:sz w:val="20"/>
                <w:szCs w:val="20"/>
              </w:rPr>
            </w:pPr>
            <w:r w:rsidRPr="00820AB1">
              <w:rPr>
                <w:rFonts w:ascii="Verdana" w:hAnsi="Verdana" w:cs="Arial"/>
                <w:b/>
                <w:bCs/>
                <w:sz w:val="20"/>
                <w:szCs w:val="20"/>
              </w:rPr>
              <w:t xml:space="preserve">Residential Construction Mitigation Program </w:t>
            </w:r>
            <w:r w:rsidRPr="00820AB1">
              <w:rPr>
                <w:rFonts w:ascii="Verdana" w:hAnsi="Verdana" w:cs="Arial"/>
                <w:sz w:val="20"/>
                <w:szCs w:val="20"/>
              </w:rPr>
              <w:t>- The Residential Construction Mitigation Program (RCMP) usually receives $7 million out of a total of $10 million annual appropriation from the Florida Hurricane Catastrophe Fund. Florida Statutes prescribe that 40 percent of the $7 million ($2.8 million) be designated for the Mobile Home Tie-Down Program. DEM provides this funding directly to Tallahassee Community College to operate the tie-down program. An additional 10 percent ($700,000) is designated for hurricane research conducted by Florida International University. The remaining 50 percent ($3.5 million) is designated for the improvement of residential homes wind resistance.34 The wind resistance program is a competitive grant program that is developed in cooperation with the RCMP Advisory Council and DEM. DEM acts as the state administrative agency in disbursing appropriated funds according to Florida Statute. This program is statutorily authorized in s. 215.555, F.S., as part of an effort to provide for a viable insurance market in Florida.</w:t>
            </w:r>
          </w:p>
          <w:p w:rsidR="004B13C5" w:rsidRPr="009A10F2" w:rsidRDefault="004B28B9" w:rsidP="00037B45">
            <w:pPr>
              <w:autoSpaceDE w:val="0"/>
              <w:autoSpaceDN w:val="0"/>
              <w:adjustRightInd w:val="0"/>
              <w:spacing w:beforeLines="60" w:afterLines="60"/>
              <w:rPr>
                <w:rFonts w:ascii="Verdana" w:hAnsi="Verdana" w:cs="Arial"/>
                <w:sz w:val="20"/>
                <w:szCs w:val="20"/>
              </w:rPr>
            </w:pPr>
            <w:r>
              <w:rPr>
                <w:rFonts w:ascii="Verdana" w:hAnsi="Verdana" w:cs="Arial"/>
                <w:i/>
                <w:iCs/>
                <w:sz w:val="20"/>
                <w:szCs w:val="20"/>
              </w:rPr>
              <w:t>Funding Information:</w:t>
            </w:r>
          </w:p>
        </w:tc>
      </w:tr>
      <w:tr w:rsidR="004B13C5" w:rsidRPr="009A10F2" w:rsidTr="004B13C5">
        <w:trPr>
          <w:cantSplit/>
          <w:trHeight w:val="193"/>
        </w:trPr>
        <w:tc>
          <w:tcPr>
            <w:tcW w:w="314" w:type="pct"/>
          </w:tcPr>
          <w:p w:rsidR="004B13C5" w:rsidRPr="009A10F2" w:rsidRDefault="004B13C5" w:rsidP="00037B45">
            <w:pPr>
              <w:spacing w:beforeLines="60" w:afterLines="60"/>
              <w:rPr>
                <w:rFonts w:ascii="Verdana" w:hAnsi="Verdana" w:cs="Arial"/>
                <w:i/>
                <w:sz w:val="16"/>
                <w:szCs w:val="16"/>
              </w:rPr>
            </w:pPr>
          </w:p>
        </w:tc>
        <w:tc>
          <w:tcPr>
            <w:tcW w:w="380" w:type="pct"/>
          </w:tcPr>
          <w:p w:rsidR="004B13C5" w:rsidRPr="009A10F2" w:rsidRDefault="004B13C5" w:rsidP="00037B45">
            <w:pPr>
              <w:spacing w:beforeLines="60" w:afterLines="60"/>
              <w:rPr>
                <w:rFonts w:ascii="Verdana" w:hAnsi="Verdana" w:cs="Arial"/>
                <w:i/>
                <w:sz w:val="16"/>
                <w:szCs w:val="16"/>
              </w:rPr>
            </w:pPr>
            <w:r>
              <w:rPr>
                <w:rFonts w:ascii="Verdana" w:hAnsi="Verdana" w:cs="Arial"/>
                <w:i/>
                <w:sz w:val="16"/>
                <w:szCs w:val="16"/>
              </w:rPr>
              <w:t>Modify</w:t>
            </w:r>
          </w:p>
        </w:tc>
        <w:tc>
          <w:tcPr>
            <w:tcW w:w="4306" w:type="pct"/>
            <w:vMerge/>
          </w:tcPr>
          <w:p w:rsidR="004B13C5" w:rsidRPr="009A10F2" w:rsidRDefault="004B13C5" w:rsidP="00037B45">
            <w:pPr>
              <w:autoSpaceDE w:val="0"/>
              <w:autoSpaceDN w:val="0"/>
              <w:adjustRightInd w:val="0"/>
              <w:spacing w:beforeLines="60" w:afterLines="60"/>
              <w:rPr>
                <w:rFonts w:ascii="Verdana" w:hAnsi="Verdana" w:cs="Arial"/>
                <w:sz w:val="20"/>
                <w:szCs w:val="20"/>
              </w:rPr>
            </w:pPr>
          </w:p>
        </w:tc>
      </w:tr>
      <w:tr w:rsidR="004B13C5" w:rsidRPr="009A10F2" w:rsidTr="004B13C5">
        <w:trPr>
          <w:cantSplit/>
          <w:trHeight w:val="193"/>
        </w:trPr>
        <w:tc>
          <w:tcPr>
            <w:tcW w:w="314" w:type="pct"/>
          </w:tcPr>
          <w:p w:rsidR="004B13C5" w:rsidRPr="009A10F2" w:rsidRDefault="004B13C5" w:rsidP="00037B45">
            <w:pPr>
              <w:spacing w:beforeLines="60" w:afterLines="60"/>
              <w:rPr>
                <w:rFonts w:ascii="Verdana" w:hAnsi="Verdana" w:cs="Arial"/>
                <w:i/>
                <w:sz w:val="16"/>
                <w:szCs w:val="16"/>
              </w:rPr>
            </w:pPr>
          </w:p>
        </w:tc>
        <w:tc>
          <w:tcPr>
            <w:tcW w:w="380" w:type="pct"/>
          </w:tcPr>
          <w:p w:rsidR="004B13C5" w:rsidRPr="009A10F2" w:rsidRDefault="004B13C5" w:rsidP="00037B45">
            <w:pPr>
              <w:spacing w:beforeLines="60" w:afterLines="60"/>
              <w:rPr>
                <w:rFonts w:ascii="Verdana" w:hAnsi="Verdana" w:cs="Arial"/>
                <w:i/>
                <w:sz w:val="16"/>
                <w:szCs w:val="16"/>
              </w:rPr>
            </w:pPr>
            <w:r>
              <w:rPr>
                <w:rFonts w:ascii="Verdana" w:hAnsi="Verdana" w:cs="Arial"/>
                <w:i/>
                <w:sz w:val="16"/>
                <w:szCs w:val="16"/>
              </w:rPr>
              <w:t>Abolish</w:t>
            </w:r>
          </w:p>
        </w:tc>
        <w:tc>
          <w:tcPr>
            <w:tcW w:w="4306" w:type="pct"/>
            <w:vMerge/>
          </w:tcPr>
          <w:p w:rsidR="004B13C5" w:rsidRPr="009A10F2" w:rsidRDefault="004B13C5" w:rsidP="00037B45">
            <w:pPr>
              <w:autoSpaceDE w:val="0"/>
              <w:autoSpaceDN w:val="0"/>
              <w:adjustRightInd w:val="0"/>
              <w:spacing w:beforeLines="60" w:afterLines="60"/>
              <w:rPr>
                <w:rFonts w:ascii="Verdana" w:hAnsi="Verdana" w:cs="Arial"/>
                <w:sz w:val="20"/>
                <w:szCs w:val="20"/>
              </w:rPr>
            </w:pPr>
          </w:p>
        </w:tc>
      </w:tr>
      <w:tr w:rsidR="0096734F" w:rsidRPr="009A10F2" w:rsidTr="004B13C5">
        <w:trPr>
          <w:cantSplit/>
          <w:trHeight w:val="385"/>
        </w:trPr>
        <w:tc>
          <w:tcPr>
            <w:tcW w:w="314" w:type="pct"/>
          </w:tcPr>
          <w:p w:rsidR="0096734F" w:rsidRPr="009A10F2" w:rsidRDefault="0096734F" w:rsidP="00037B45">
            <w:pPr>
              <w:spacing w:beforeLines="60" w:afterLines="60"/>
              <w:jc w:val="center"/>
              <w:rPr>
                <w:rFonts w:ascii="Verdana" w:hAnsi="Verdana" w:cs="Arial"/>
                <w:sz w:val="16"/>
                <w:szCs w:val="16"/>
              </w:rPr>
            </w:pPr>
          </w:p>
        </w:tc>
        <w:tc>
          <w:tcPr>
            <w:tcW w:w="380" w:type="pct"/>
          </w:tcPr>
          <w:p w:rsidR="0096734F" w:rsidRPr="009A10F2" w:rsidRDefault="0096734F" w:rsidP="00037B45">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4E37F1" w:rsidRDefault="00635614" w:rsidP="00037B45">
            <w:pPr>
              <w:autoSpaceDE w:val="0"/>
              <w:autoSpaceDN w:val="0"/>
              <w:adjustRightInd w:val="0"/>
              <w:spacing w:beforeLines="60" w:afterLines="60"/>
              <w:rPr>
                <w:rFonts w:ascii="Verdana" w:hAnsi="Verdana" w:cs="Arial"/>
                <w:sz w:val="20"/>
                <w:szCs w:val="20"/>
              </w:rPr>
            </w:pPr>
            <w:r w:rsidRPr="00635614">
              <w:rPr>
                <w:rFonts w:ascii="Verdana" w:hAnsi="Verdana" w:cs="Arial"/>
                <w:b/>
                <w:bCs/>
                <w:sz w:val="20"/>
                <w:szCs w:val="20"/>
              </w:rPr>
              <w:t xml:space="preserve">Severe Repetitive Loss Pilot Program </w:t>
            </w:r>
            <w:r w:rsidRPr="00635614">
              <w:rPr>
                <w:rFonts w:ascii="Verdana" w:hAnsi="Verdana" w:cs="Arial"/>
                <w:sz w:val="20"/>
                <w:szCs w:val="20"/>
              </w:rPr>
              <w:t>- This pilot federal program has the objective of reducing or eliminating claims under the NFIP. Eligibility for the program is based on having at least four claims over $5,000 each and the cumulative amount exceeding $20,000 or having two separate claims that exceed the market value of the building. As of July, 2007, there were 480 residential properties in Florida that qualified as Severe Repetitive Loss properties as defined by the federal program. DEM administers this program at the state level by reviewing projects for appropriateness, consistency with state and local mitigation strategies, cost-benefit, eligibility, and completeness before submitting them to FEMA. The program is staffed within DEM’s Mitigation Section as part of the section’s regular duties.</w:t>
            </w:r>
            <w:r w:rsidR="004E37F1">
              <w:rPr>
                <w:rFonts w:ascii="Verdana" w:hAnsi="Verdana" w:cs="Arial"/>
                <w:sz w:val="20"/>
                <w:szCs w:val="20"/>
              </w:rPr>
              <w:t>\</w:t>
            </w:r>
          </w:p>
          <w:p w:rsidR="00BA38D1" w:rsidRPr="009A10F2" w:rsidRDefault="00635614" w:rsidP="00037B45">
            <w:pPr>
              <w:autoSpaceDE w:val="0"/>
              <w:autoSpaceDN w:val="0"/>
              <w:adjustRightInd w:val="0"/>
              <w:spacing w:beforeLines="60" w:afterLines="60"/>
              <w:rPr>
                <w:rFonts w:ascii="Verdana" w:hAnsi="Verdana" w:cs="Arial"/>
                <w:sz w:val="20"/>
                <w:szCs w:val="20"/>
              </w:rPr>
            </w:pPr>
            <w:r>
              <w:rPr>
                <w:rFonts w:ascii="Verdana" w:hAnsi="Verdana" w:cs="Arial"/>
                <w:sz w:val="20"/>
                <w:szCs w:val="20"/>
              </w:rPr>
              <w:t xml:space="preserve"> </w:t>
            </w:r>
            <w:r w:rsidR="004B28B9">
              <w:rPr>
                <w:rFonts w:ascii="Verdana" w:hAnsi="Verdana" w:cs="Arial"/>
                <w:i/>
                <w:iCs/>
                <w:sz w:val="20"/>
                <w:szCs w:val="20"/>
              </w:rPr>
              <w:t>Funding Information:</w:t>
            </w:r>
          </w:p>
        </w:tc>
      </w:tr>
      <w:tr w:rsidR="0096734F" w:rsidRPr="009A10F2" w:rsidTr="004B13C5">
        <w:trPr>
          <w:cantSplit/>
          <w:trHeight w:val="385"/>
        </w:trPr>
        <w:tc>
          <w:tcPr>
            <w:tcW w:w="314" w:type="pct"/>
          </w:tcPr>
          <w:p w:rsidR="0096734F" w:rsidRPr="009A10F2" w:rsidRDefault="0096734F" w:rsidP="00037B45">
            <w:pPr>
              <w:spacing w:beforeLines="60" w:afterLines="60"/>
              <w:jc w:val="center"/>
              <w:rPr>
                <w:rFonts w:ascii="Verdana" w:hAnsi="Verdana" w:cs="Arial"/>
                <w:sz w:val="16"/>
                <w:szCs w:val="16"/>
              </w:rPr>
            </w:pPr>
          </w:p>
        </w:tc>
        <w:tc>
          <w:tcPr>
            <w:tcW w:w="380" w:type="pct"/>
          </w:tcPr>
          <w:p w:rsidR="0096734F" w:rsidRPr="009A10F2" w:rsidRDefault="0096734F" w:rsidP="00037B45">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96734F" w:rsidRPr="009A10F2" w:rsidRDefault="0096734F" w:rsidP="00037B45">
            <w:pPr>
              <w:autoSpaceDE w:val="0"/>
              <w:autoSpaceDN w:val="0"/>
              <w:adjustRightInd w:val="0"/>
              <w:spacing w:beforeLines="60" w:afterLines="60"/>
              <w:rPr>
                <w:rFonts w:ascii="Verdana" w:hAnsi="Verdana" w:cs="Arial"/>
                <w:sz w:val="20"/>
                <w:szCs w:val="20"/>
              </w:rPr>
            </w:pPr>
          </w:p>
        </w:tc>
      </w:tr>
      <w:tr w:rsidR="0096734F" w:rsidRPr="009A10F2" w:rsidTr="004B13C5">
        <w:trPr>
          <w:cantSplit/>
          <w:trHeight w:val="385"/>
        </w:trPr>
        <w:tc>
          <w:tcPr>
            <w:tcW w:w="314" w:type="pct"/>
          </w:tcPr>
          <w:p w:rsidR="0096734F" w:rsidRPr="009A10F2" w:rsidRDefault="0096734F" w:rsidP="00037B45">
            <w:pPr>
              <w:spacing w:beforeLines="60" w:afterLines="60"/>
              <w:rPr>
                <w:rFonts w:ascii="Verdana" w:hAnsi="Verdana" w:cs="Arial"/>
                <w:sz w:val="16"/>
                <w:szCs w:val="16"/>
              </w:rPr>
            </w:pPr>
          </w:p>
        </w:tc>
        <w:tc>
          <w:tcPr>
            <w:tcW w:w="380" w:type="pct"/>
          </w:tcPr>
          <w:p w:rsidR="0096734F" w:rsidRPr="009A10F2" w:rsidRDefault="0096734F" w:rsidP="00037B45">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96734F" w:rsidRPr="009A10F2" w:rsidRDefault="0096734F" w:rsidP="00037B45">
            <w:pPr>
              <w:autoSpaceDE w:val="0"/>
              <w:autoSpaceDN w:val="0"/>
              <w:adjustRightInd w:val="0"/>
              <w:spacing w:beforeLines="60" w:afterLines="60"/>
              <w:rPr>
                <w:rFonts w:ascii="Verdana" w:hAnsi="Verdana" w:cs="Arial"/>
                <w:sz w:val="20"/>
                <w:szCs w:val="20"/>
              </w:rPr>
            </w:pPr>
          </w:p>
        </w:tc>
      </w:tr>
      <w:tr w:rsidR="00690BB4" w:rsidRPr="009A10F2" w:rsidTr="00690BB4">
        <w:trPr>
          <w:cantSplit/>
        </w:trPr>
        <w:tc>
          <w:tcPr>
            <w:tcW w:w="5000" w:type="pct"/>
            <w:gridSpan w:val="3"/>
            <w:shd w:val="pct10" w:color="auto" w:fill="auto"/>
          </w:tcPr>
          <w:p w:rsidR="00690BB4" w:rsidRPr="00635614" w:rsidRDefault="00A92B26" w:rsidP="00037B45">
            <w:pPr>
              <w:spacing w:beforeLines="60" w:afterLines="60"/>
              <w:ind w:left="720"/>
              <w:rPr>
                <w:rFonts w:ascii="Verdana" w:hAnsi="Verdana" w:cs="Arial"/>
                <w:sz w:val="20"/>
                <w:szCs w:val="20"/>
              </w:rPr>
            </w:pPr>
            <w:r>
              <w:rPr>
                <w:rFonts w:ascii="Verdana" w:hAnsi="Verdana"/>
                <w:b/>
                <w:bCs/>
                <w:i/>
                <w:iCs/>
                <w:sz w:val="20"/>
                <w:szCs w:val="20"/>
              </w:rPr>
              <w:t>Pr</w:t>
            </w:r>
            <w:r w:rsidR="00690BB4">
              <w:rPr>
                <w:rFonts w:ascii="Verdana" w:hAnsi="Verdana"/>
                <w:b/>
                <w:bCs/>
                <w:i/>
                <w:iCs/>
                <w:sz w:val="20"/>
                <w:szCs w:val="20"/>
              </w:rPr>
              <w:t>eparedness</w:t>
            </w:r>
          </w:p>
        </w:tc>
      </w:tr>
      <w:tr w:rsidR="00684463" w:rsidRPr="009A10F2" w:rsidTr="001B5A7F">
        <w:trPr>
          <w:cantSplit/>
          <w:trHeight w:val="470"/>
        </w:trPr>
        <w:tc>
          <w:tcPr>
            <w:tcW w:w="314" w:type="pct"/>
          </w:tcPr>
          <w:p w:rsidR="00684463" w:rsidRPr="009A10F2" w:rsidRDefault="00684463" w:rsidP="00037B45">
            <w:pPr>
              <w:keepNext/>
              <w:keepLines/>
              <w:spacing w:beforeLines="60" w:afterLines="60"/>
              <w:jc w:val="center"/>
              <w:rPr>
                <w:rFonts w:ascii="Verdana" w:hAnsi="Verdana" w:cs="Arial"/>
                <w:sz w:val="16"/>
                <w:szCs w:val="16"/>
              </w:rPr>
            </w:pPr>
          </w:p>
        </w:tc>
        <w:tc>
          <w:tcPr>
            <w:tcW w:w="380" w:type="pct"/>
          </w:tcPr>
          <w:p w:rsidR="00684463" w:rsidRPr="009A10F2" w:rsidRDefault="00684463" w:rsidP="00037B45">
            <w:pPr>
              <w:keepNext/>
              <w:keepLines/>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shd w:val="clear" w:color="auto" w:fill="auto"/>
          </w:tcPr>
          <w:p w:rsidR="00635614" w:rsidRDefault="00635614" w:rsidP="00037B45">
            <w:pPr>
              <w:keepNext/>
              <w:keepLines/>
              <w:autoSpaceDE w:val="0"/>
              <w:autoSpaceDN w:val="0"/>
              <w:adjustRightInd w:val="0"/>
              <w:spacing w:beforeLines="60" w:afterLines="60"/>
              <w:rPr>
                <w:rFonts w:ascii="Verdana" w:hAnsi="Verdana" w:cs="Arial"/>
                <w:sz w:val="20"/>
                <w:szCs w:val="20"/>
              </w:rPr>
            </w:pPr>
            <w:r w:rsidRPr="00635614">
              <w:rPr>
                <w:rFonts w:ascii="Verdana" w:hAnsi="Verdana" w:cs="Arial"/>
                <w:b/>
                <w:bCs/>
                <w:sz w:val="20"/>
                <w:szCs w:val="20"/>
              </w:rPr>
              <w:t xml:space="preserve">Emergency Management Preparedness Assistance (EMPA) Base Grant Program </w:t>
            </w:r>
            <w:r w:rsidRPr="00635614">
              <w:rPr>
                <w:rFonts w:ascii="Verdana" w:hAnsi="Verdana" w:cs="Arial"/>
                <w:sz w:val="20"/>
                <w:szCs w:val="20"/>
              </w:rPr>
              <w:t>- The Legislature established the Emergency Management Preparedness and Assistance Trust Fund in 1993. An annual appropriation from this trust fund is used to assist each county with the enhancement of its emergency management capabilities. Each county receives an equal share of the appropriation. In addition, each county receives Emergency Management Performance Grant funds from FEMA to further support emergency capabilities and operations. FEMA funds are distributed based on the estimated county population with a requirement for at least a 50/50 local match. There is no application process for the award; however, each county is required at a minimum to have a full-time professional Emergency Management Coordinator in order to participate. DEM acts as the state administrative agency for this program. The program is statutorily authorized in s. 252.373, F.S.</w:t>
            </w:r>
          </w:p>
          <w:p w:rsidR="00684463" w:rsidRPr="009A10F2" w:rsidRDefault="004B28B9" w:rsidP="00037B45">
            <w:pPr>
              <w:keepNext/>
              <w:keepLines/>
              <w:autoSpaceDE w:val="0"/>
              <w:autoSpaceDN w:val="0"/>
              <w:adjustRightInd w:val="0"/>
              <w:spacing w:beforeLines="60" w:afterLines="60"/>
              <w:rPr>
                <w:rFonts w:ascii="Verdana" w:hAnsi="Verdana" w:cs="Arial"/>
                <w:sz w:val="20"/>
                <w:szCs w:val="20"/>
              </w:rPr>
            </w:pPr>
            <w:r>
              <w:rPr>
                <w:rFonts w:ascii="Verdana" w:hAnsi="Verdana" w:cs="Arial"/>
                <w:i/>
                <w:iCs/>
                <w:sz w:val="20"/>
                <w:szCs w:val="20"/>
              </w:rPr>
              <w:t>Funding Information:</w:t>
            </w:r>
          </w:p>
        </w:tc>
      </w:tr>
      <w:tr w:rsidR="00684463" w:rsidRPr="009A10F2" w:rsidTr="001B5A7F">
        <w:trPr>
          <w:cantSplit/>
          <w:trHeight w:val="470"/>
        </w:trPr>
        <w:tc>
          <w:tcPr>
            <w:tcW w:w="314" w:type="pct"/>
          </w:tcPr>
          <w:p w:rsidR="00684463" w:rsidRPr="009A10F2" w:rsidRDefault="00684463" w:rsidP="00037B45">
            <w:pPr>
              <w:keepNext/>
              <w:keepLines/>
              <w:spacing w:beforeLines="60" w:afterLines="60"/>
              <w:jc w:val="center"/>
              <w:rPr>
                <w:rFonts w:ascii="Verdana" w:hAnsi="Verdana" w:cs="Arial"/>
                <w:sz w:val="16"/>
                <w:szCs w:val="16"/>
              </w:rPr>
            </w:pPr>
          </w:p>
        </w:tc>
        <w:tc>
          <w:tcPr>
            <w:tcW w:w="380" w:type="pct"/>
          </w:tcPr>
          <w:p w:rsidR="00684463" w:rsidRPr="009A10F2" w:rsidRDefault="00684463" w:rsidP="00037B45">
            <w:pPr>
              <w:keepNext/>
              <w:keepLines/>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shd w:val="clear" w:color="auto" w:fill="auto"/>
          </w:tcPr>
          <w:p w:rsidR="00684463" w:rsidRPr="009A10F2" w:rsidRDefault="00684463" w:rsidP="00037B45">
            <w:pPr>
              <w:keepNext/>
              <w:keepLines/>
              <w:spacing w:beforeLines="60" w:afterLines="60"/>
              <w:rPr>
                <w:rFonts w:ascii="Verdana" w:hAnsi="Verdana" w:cs="Arial"/>
                <w:sz w:val="20"/>
                <w:szCs w:val="20"/>
              </w:rPr>
            </w:pPr>
          </w:p>
        </w:tc>
      </w:tr>
      <w:tr w:rsidR="00684463" w:rsidRPr="009A10F2" w:rsidTr="001B5A7F">
        <w:trPr>
          <w:cantSplit/>
          <w:trHeight w:val="470"/>
        </w:trPr>
        <w:tc>
          <w:tcPr>
            <w:tcW w:w="314" w:type="pct"/>
          </w:tcPr>
          <w:p w:rsidR="00684463" w:rsidRPr="009A10F2" w:rsidRDefault="00684463" w:rsidP="00037B45">
            <w:pPr>
              <w:keepNext/>
              <w:keepLines/>
              <w:spacing w:beforeLines="60" w:afterLines="60"/>
              <w:rPr>
                <w:rFonts w:ascii="Verdana" w:hAnsi="Verdana" w:cs="Arial"/>
                <w:sz w:val="16"/>
                <w:szCs w:val="16"/>
              </w:rPr>
            </w:pPr>
          </w:p>
        </w:tc>
        <w:tc>
          <w:tcPr>
            <w:tcW w:w="380" w:type="pct"/>
          </w:tcPr>
          <w:p w:rsidR="00684463" w:rsidRPr="009A10F2" w:rsidRDefault="00684463" w:rsidP="00037B45">
            <w:pPr>
              <w:keepNext/>
              <w:keepLines/>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shd w:val="clear" w:color="auto" w:fill="auto"/>
          </w:tcPr>
          <w:p w:rsidR="00684463" w:rsidRPr="009A10F2" w:rsidRDefault="00684463" w:rsidP="00037B45">
            <w:pPr>
              <w:keepNext/>
              <w:keepLines/>
              <w:spacing w:beforeLines="60" w:afterLines="60"/>
              <w:rPr>
                <w:rFonts w:ascii="Verdana" w:hAnsi="Verdana" w:cs="Arial"/>
                <w:sz w:val="20"/>
                <w:szCs w:val="20"/>
              </w:rPr>
            </w:pPr>
          </w:p>
        </w:tc>
      </w:tr>
      <w:tr w:rsidR="00684463" w:rsidRPr="009A10F2" w:rsidTr="004B13C5">
        <w:trPr>
          <w:cantSplit/>
          <w:trHeight w:val="420"/>
        </w:trPr>
        <w:tc>
          <w:tcPr>
            <w:tcW w:w="314" w:type="pct"/>
          </w:tcPr>
          <w:p w:rsidR="00684463" w:rsidRPr="009A10F2" w:rsidRDefault="00684463" w:rsidP="00037B45">
            <w:pPr>
              <w:spacing w:beforeLines="60" w:afterLines="60"/>
              <w:jc w:val="center"/>
              <w:rPr>
                <w:rFonts w:ascii="Verdana" w:hAnsi="Verdana" w:cs="Arial"/>
                <w:sz w:val="16"/>
                <w:szCs w:val="16"/>
              </w:rPr>
            </w:pPr>
          </w:p>
        </w:tc>
        <w:tc>
          <w:tcPr>
            <w:tcW w:w="380" w:type="pct"/>
          </w:tcPr>
          <w:p w:rsidR="00684463" w:rsidRPr="009A10F2" w:rsidRDefault="00573F75" w:rsidP="00037B45">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4B28B9" w:rsidRDefault="00635614" w:rsidP="00037B45">
            <w:pPr>
              <w:autoSpaceDE w:val="0"/>
              <w:autoSpaceDN w:val="0"/>
              <w:adjustRightInd w:val="0"/>
              <w:spacing w:beforeLines="60" w:afterLines="60"/>
              <w:rPr>
                <w:rFonts w:ascii="Verdana" w:hAnsi="Verdana" w:cs="Arial"/>
                <w:sz w:val="20"/>
                <w:szCs w:val="20"/>
              </w:rPr>
            </w:pPr>
            <w:r w:rsidRPr="00635614">
              <w:rPr>
                <w:rFonts w:ascii="Verdana" w:hAnsi="Verdana" w:cs="Arial"/>
                <w:b/>
                <w:bCs/>
                <w:sz w:val="20"/>
                <w:szCs w:val="20"/>
              </w:rPr>
              <w:t xml:space="preserve">Emergency Management Preparedness Assistance (EMPA) Competitive Grant Program </w:t>
            </w:r>
            <w:r w:rsidRPr="00635614">
              <w:rPr>
                <w:rFonts w:ascii="Verdana" w:hAnsi="Verdana" w:cs="Arial"/>
                <w:sz w:val="20"/>
                <w:szCs w:val="20"/>
              </w:rPr>
              <w:t xml:space="preserve">- The EMPA Competitive Grant Program supports projects that will further state and local emergency management objectives. Awards are made </w:t>
            </w:r>
            <w:proofErr w:type="gramStart"/>
            <w:r w:rsidRPr="00635614">
              <w:rPr>
                <w:rFonts w:ascii="Verdana" w:hAnsi="Verdana" w:cs="Arial"/>
                <w:sz w:val="20"/>
                <w:szCs w:val="20"/>
              </w:rPr>
              <w:t>under</w:t>
            </w:r>
            <w:proofErr w:type="gramEnd"/>
            <w:r w:rsidRPr="00635614">
              <w:rPr>
                <w:rFonts w:ascii="Verdana" w:hAnsi="Verdana" w:cs="Arial"/>
                <w:sz w:val="20"/>
                <w:szCs w:val="20"/>
              </w:rPr>
              <w:t xml:space="preserve"> two separate sub-programs. The Emergency Management Competitive Grant Program which is designed to assist state or regional agencies, local governments, and private non-profit organizations. The Municipal Competitive Grant Program is reserved for municipalities only that are signatory to the current Statewide Mutual Aid agreement. DEM again acts as the state administrative agency for this program. This program provides a source of emergency management funding for municipalities and not-for-profit agencies that typically do not receive grant funding for such purposes. </w:t>
            </w:r>
          </w:p>
          <w:p w:rsidR="00684463" w:rsidRPr="009A10F2" w:rsidRDefault="004B28B9" w:rsidP="00037B45">
            <w:pPr>
              <w:autoSpaceDE w:val="0"/>
              <w:autoSpaceDN w:val="0"/>
              <w:adjustRightInd w:val="0"/>
              <w:spacing w:beforeLines="60" w:afterLines="60"/>
              <w:rPr>
                <w:rFonts w:ascii="Verdana" w:hAnsi="Verdana" w:cs="Arial"/>
                <w:sz w:val="20"/>
                <w:szCs w:val="20"/>
              </w:rPr>
            </w:pPr>
            <w:r>
              <w:rPr>
                <w:rFonts w:ascii="Verdana" w:hAnsi="Verdana" w:cs="Arial"/>
                <w:i/>
                <w:iCs/>
                <w:sz w:val="20"/>
                <w:szCs w:val="20"/>
              </w:rPr>
              <w:t>Funding Information:</w:t>
            </w:r>
          </w:p>
        </w:tc>
      </w:tr>
      <w:tr w:rsidR="00684463" w:rsidRPr="009A10F2" w:rsidTr="004B13C5">
        <w:trPr>
          <w:cantSplit/>
          <w:trHeight w:val="420"/>
        </w:trPr>
        <w:tc>
          <w:tcPr>
            <w:tcW w:w="314" w:type="pct"/>
          </w:tcPr>
          <w:p w:rsidR="00684463" w:rsidRPr="009A10F2" w:rsidRDefault="00684463" w:rsidP="00037B45">
            <w:pPr>
              <w:spacing w:beforeLines="60" w:afterLines="60"/>
              <w:rPr>
                <w:rFonts w:ascii="Verdana" w:hAnsi="Verdana" w:cs="Arial"/>
                <w:sz w:val="16"/>
                <w:szCs w:val="16"/>
              </w:rPr>
            </w:pPr>
          </w:p>
        </w:tc>
        <w:tc>
          <w:tcPr>
            <w:tcW w:w="380" w:type="pct"/>
          </w:tcPr>
          <w:p w:rsidR="00684463" w:rsidRPr="009A10F2" w:rsidRDefault="00573F75" w:rsidP="00037B45">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684463" w:rsidRPr="009A10F2" w:rsidRDefault="00684463" w:rsidP="00037B45">
            <w:pPr>
              <w:autoSpaceDE w:val="0"/>
              <w:autoSpaceDN w:val="0"/>
              <w:adjustRightInd w:val="0"/>
              <w:spacing w:beforeLines="60" w:afterLines="60"/>
              <w:rPr>
                <w:rFonts w:ascii="Verdana" w:hAnsi="Verdana" w:cs="Arial"/>
                <w:sz w:val="20"/>
                <w:szCs w:val="20"/>
              </w:rPr>
            </w:pPr>
          </w:p>
        </w:tc>
      </w:tr>
      <w:tr w:rsidR="00684463" w:rsidRPr="009A10F2" w:rsidTr="004B13C5">
        <w:trPr>
          <w:cantSplit/>
          <w:trHeight w:val="420"/>
        </w:trPr>
        <w:tc>
          <w:tcPr>
            <w:tcW w:w="314" w:type="pct"/>
          </w:tcPr>
          <w:p w:rsidR="00684463" w:rsidRPr="009A10F2" w:rsidRDefault="00684463" w:rsidP="00037B45">
            <w:pPr>
              <w:spacing w:beforeLines="60" w:afterLines="60"/>
              <w:rPr>
                <w:rFonts w:ascii="Verdana" w:hAnsi="Verdana" w:cs="Arial"/>
                <w:sz w:val="16"/>
                <w:szCs w:val="16"/>
              </w:rPr>
            </w:pPr>
          </w:p>
        </w:tc>
        <w:tc>
          <w:tcPr>
            <w:tcW w:w="380" w:type="pct"/>
          </w:tcPr>
          <w:p w:rsidR="00684463" w:rsidRPr="009A10F2" w:rsidRDefault="00573F75" w:rsidP="00037B45">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684463" w:rsidRPr="009A10F2" w:rsidRDefault="00684463" w:rsidP="00037B45">
            <w:pPr>
              <w:autoSpaceDE w:val="0"/>
              <w:autoSpaceDN w:val="0"/>
              <w:adjustRightInd w:val="0"/>
              <w:spacing w:beforeLines="60" w:afterLines="60"/>
              <w:rPr>
                <w:rFonts w:ascii="Verdana" w:hAnsi="Verdana" w:cs="Arial"/>
                <w:sz w:val="20"/>
                <w:szCs w:val="20"/>
              </w:rPr>
            </w:pPr>
          </w:p>
        </w:tc>
      </w:tr>
      <w:tr w:rsidR="00684463" w:rsidRPr="009A10F2" w:rsidTr="004B13C5">
        <w:trPr>
          <w:cantSplit/>
          <w:trHeight w:val="385"/>
        </w:trPr>
        <w:tc>
          <w:tcPr>
            <w:tcW w:w="314" w:type="pct"/>
          </w:tcPr>
          <w:p w:rsidR="00684463" w:rsidRPr="009A10F2" w:rsidRDefault="00684463" w:rsidP="00037B45">
            <w:pPr>
              <w:keepNext/>
              <w:keepLines/>
              <w:spacing w:beforeLines="60" w:afterLines="60"/>
              <w:rPr>
                <w:rFonts w:ascii="Verdana" w:hAnsi="Verdana" w:cs="Arial"/>
                <w:sz w:val="16"/>
                <w:szCs w:val="16"/>
              </w:rPr>
            </w:pPr>
          </w:p>
        </w:tc>
        <w:tc>
          <w:tcPr>
            <w:tcW w:w="380" w:type="pct"/>
          </w:tcPr>
          <w:p w:rsidR="00684463" w:rsidRPr="009A10F2" w:rsidRDefault="00684463" w:rsidP="00037B45">
            <w:pPr>
              <w:keepNext/>
              <w:keepLines/>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shd w:val="clear" w:color="auto" w:fill="E0E0E0"/>
          </w:tcPr>
          <w:p w:rsidR="00684463" w:rsidRPr="009A10F2" w:rsidRDefault="00684463" w:rsidP="00037B45">
            <w:pPr>
              <w:keepNext/>
              <w:keepLines/>
              <w:spacing w:beforeLines="60" w:afterLines="60"/>
              <w:rPr>
                <w:rFonts w:ascii="Verdana" w:hAnsi="Verdana" w:cs="Arial"/>
                <w:sz w:val="20"/>
                <w:szCs w:val="20"/>
              </w:rPr>
            </w:pPr>
          </w:p>
        </w:tc>
      </w:tr>
      <w:tr w:rsidR="00684463" w:rsidRPr="009A10F2" w:rsidTr="004B13C5">
        <w:trPr>
          <w:cantSplit/>
          <w:trHeight w:val="385"/>
        </w:trPr>
        <w:tc>
          <w:tcPr>
            <w:tcW w:w="314" w:type="pct"/>
          </w:tcPr>
          <w:p w:rsidR="00684463" w:rsidRPr="009A10F2" w:rsidRDefault="00684463" w:rsidP="00037B45">
            <w:pPr>
              <w:keepNext/>
              <w:keepLines/>
              <w:spacing w:beforeLines="60" w:afterLines="60"/>
              <w:rPr>
                <w:rFonts w:ascii="Verdana" w:hAnsi="Verdana" w:cs="Arial"/>
                <w:sz w:val="16"/>
                <w:szCs w:val="16"/>
              </w:rPr>
            </w:pPr>
          </w:p>
        </w:tc>
        <w:tc>
          <w:tcPr>
            <w:tcW w:w="380" w:type="pct"/>
          </w:tcPr>
          <w:p w:rsidR="00684463" w:rsidRPr="009A10F2" w:rsidRDefault="00684463" w:rsidP="00037B45">
            <w:pPr>
              <w:keepNext/>
              <w:keepLines/>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shd w:val="clear" w:color="auto" w:fill="E0E0E0"/>
          </w:tcPr>
          <w:p w:rsidR="00684463" w:rsidRPr="009A10F2" w:rsidRDefault="00684463" w:rsidP="00037B45">
            <w:pPr>
              <w:keepNext/>
              <w:keepLines/>
              <w:spacing w:beforeLines="60" w:afterLines="60"/>
              <w:rPr>
                <w:rFonts w:ascii="Verdana" w:hAnsi="Verdana" w:cs="Arial"/>
                <w:sz w:val="20"/>
                <w:szCs w:val="20"/>
              </w:rPr>
            </w:pPr>
          </w:p>
        </w:tc>
      </w:tr>
      <w:tr w:rsidR="00123BBC" w:rsidRPr="009A10F2" w:rsidTr="004B13C5">
        <w:trPr>
          <w:cantSplit/>
          <w:trHeight w:val="340"/>
        </w:trPr>
        <w:tc>
          <w:tcPr>
            <w:tcW w:w="314" w:type="pct"/>
          </w:tcPr>
          <w:p w:rsidR="00123BBC" w:rsidRPr="009A10F2" w:rsidRDefault="00123BBC" w:rsidP="00037B45">
            <w:pPr>
              <w:spacing w:beforeLines="60" w:afterLines="60"/>
              <w:jc w:val="center"/>
              <w:rPr>
                <w:rFonts w:ascii="Verdana" w:hAnsi="Verdana" w:cs="Arial"/>
                <w:sz w:val="16"/>
                <w:szCs w:val="16"/>
              </w:rPr>
            </w:pPr>
          </w:p>
        </w:tc>
        <w:tc>
          <w:tcPr>
            <w:tcW w:w="380" w:type="pct"/>
          </w:tcPr>
          <w:p w:rsidR="00123BBC" w:rsidRPr="009A10F2" w:rsidRDefault="00123BBC" w:rsidP="00037B45">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635614" w:rsidRDefault="00635614" w:rsidP="00037B45">
            <w:pPr>
              <w:autoSpaceDE w:val="0"/>
              <w:autoSpaceDN w:val="0"/>
              <w:adjustRightInd w:val="0"/>
              <w:spacing w:beforeLines="60" w:afterLines="60"/>
              <w:rPr>
                <w:rFonts w:ascii="Verdana" w:hAnsi="Verdana" w:cs="Arial"/>
                <w:sz w:val="20"/>
                <w:szCs w:val="20"/>
              </w:rPr>
            </w:pPr>
            <w:r w:rsidRPr="00635614">
              <w:rPr>
                <w:rFonts w:ascii="Verdana" w:hAnsi="Verdana" w:cs="Arial"/>
                <w:b/>
                <w:bCs/>
                <w:sz w:val="20"/>
                <w:szCs w:val="20"/>
              </w:rPr>
              <w:t xml:space="preserve">Emergency Preparedness Program </w:t>
            </w:r>
            <w:r w:rsidRPr="00635614">
              <w:rPr>
                <w:rFonts w:ascii="Verdana" w:hAnsi="Verdana" w:cs="Arial"/>
                <w:sz w:val="20"/>
                <w:szCs w:val="20"/>
              </w:rPr>
              <w:t xml:space="preserve">- DEM administers a number of specific programs that together compromise an integrated emergency preparedness program. The Emergency Alert System ensures that all 67 counties have a working emergency alert system so that warnings can be sent en mass to the citizens of the state. The emergency preparedness Public Information Program performs education and outreach to ensure that all Floridians and visitors are prepared for all hazards that may affect the state. Two initiatives of the Public Information Program are the Hazardous Weather Awareness Week and the “Get A Plan” campaign. The Radiological Emergency Preparedness Program is outlined in NUREG-0654 which is published by the Nuclear Regulatory Commission and FEMA. Federal guidelines dictate that states establish and maintain radiological emergency plans and improve emergency preparedness associated with nuclear power plants. The program is funded by the nuclear power industry. DEM assists other state and local agencies with planning expertise. </w:t>
            </w:r>
          </w:p>
          <w:p w:rsidR="00123BBC" w:rsidRPr="009A10F2" w:rsidRDefault="004B28B9" w:rsidP="00037B45">
            <w:pPr>
              <w:autoSpaceDE w:val="0"/>
              <w:autoSpaceDN w:val="0"/>
              <w:adjustRightInd w:val="0"/>
              <w:spacing w:beforeLines="60" w:afterLines="60"/>
              <w:rPr>
                <w:rFonts w:ascii="Verdana" w:hAnsi="Verdana" w:cs="Arial"/>
                <w:sz w:val="20"/>
                <w:szCs w:val="20"/>
              </w:rPr>
            </w:pPr>
            <w:r>
              <w:rPr>
                <w:rFonts w:ascii="Verdana" w:hAnsi="Verdana" w:cs="Arial"/>
                <w:i/>
                <w:iCs/>
                <w:sz w:val="20"/>
                <w:szCs w:val="20"/>
              </w:rPr>
              <w:t>Funding Information:</w:t>
            </w:r>
          </w:p>
        </w:tc>
      </w:tr>
      <w:tr w:rsidR="00123BBC" w:rsidRPr="009A10F2" w:rsidTr="004B13C5">
        <w:trPr>
          <w:cantSplit/>
          <w:trHeight w:val="340"/>
        </w:trPr>
        <w:tc>
          <w:tcPr>
            <w:tcW w:w="314" w:type="pct"/>
          </w:tcPr>
          <w:p w:rsidR="00123BBC" w:rsidRPr="009A10F2" w:rsidRDefault="00123BBC" w:rsidP="00037B45">
            <w:pPr>
              <w:spacing w:beforeLines="60" w:afterLines="60"/>
              <w:rPr>
                <w:rFonts w:ascii="Verdana" w:hAnsi="Verdana" w:cs="Arial"/>
                <w:sz w:val="16"/>
                <w:szCs w:val="16"/>
              </w:rPr>
            </w:pPr>
          </w:p>
        </w:tc>
        <w:tc>
          <w:tcPr>
            <w:tcW w:w="380" w:type="pct"/>
          </w:tcPr>
          <w:p w:rsidR="00123BBC" w:rsidRPr="009A10F2" w:rsidRDefault="00123BBC" w:rsidP="00037B45">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123BBC" w:rsidRPr="009A10F2" w:rsidRDefault="00123BBC" w:rsidP="00037B45">
            <w:pPr>
              <w:autoSpaceDE w:val="0"/>
              <w:autoSpaceDN w:val="0"/>
              <w:adjustRightInd w:val="0"/>
              <w:spacing w:beforeLines="60" w:afterLines="60"/>
              <w:rPr>
                <w:rFonts w:ascii="Verdana" w:hAnsi="Verdana" w:cs="Arial"/>
                <w:sz w:val="20"/>
                <w:szCs w:val="20"/>
              </w:rPr>
            </w:pPr>
          </w:p>
        </w:tc>
      </w:tr>
      <w:tr w:rsidR="00123BBC" w:rsidRPr="009A10F2" w:rsidTr="004B13C5">
        <w:trPr>
          <w:cantSplit/>
          <w:trHeight w:val="340"/>
        </w:trPr>
        <w:tc>
          <w:tcPr>
            <w:tcW w:w="314" w:type="pct"/>
          </w:tcPr>
          <w:p w:rsidR="00123BBC" w:rsidRPr="009A10F2" w:rsidRDefault="00123BBC" w:rsidP="00037B45">
            <w:pPr>
              <w:spacing w:beforeLines="60" w:afterLines="60"/>
              <w:rPr>
                <w:rFonts w:ascii="Verdana" w:hAnsi="Verdana" w:cs="Arial"/>
                <w:sz w:val="16"/>
                <w:szCs w:val="16"/>
              </w:rPr>
            </w:pPr>
          </w:p>
        </w:tc>
        <w:tc>
          <w:tcPr>
            <w:tcW w:w="380" w:type="pct"/>
          </w:tcPr>
          <w:p w:rsidR="00123BBC" w:rsidRPr="009A10F2" w:rsidRDefault="00123BBC" w:rsidP="00037B45">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123BBC" w:rsidRPr="009A10F2" w:rsidRDefault="00123BBC" w:rsidP="00037B45">
            <w:pPr>
              <w:autoSpaceDE w:val="0"/>
              <w:autoSpaceDN w:val="0"/>
              <w:adjustRightInd w:val="0"/>
              <w:spacing w:beforeLines="60" w:afterLines="60"/>
              <w:rPr>
                <w:rFonts w:ascii="Verdana" w:hAnsi="Verdana" w:cs="Arial"/>
                <w:sz w:val="20"/>
                <w:szCs w:val="20"/>
              </w:rPr>
            </w:pPr>
          </w:p>
        </w:tc>
      </w:tr>
      <w:tr w:rsidR="00684463" w:rsidRPr="009A10F2" w:rsidTr="004B13C5">
        <w:trPr>
          <w:cantSplit/>
          <w:trHeight w:val="260"/>
        </w:trPr>
        <w:tc>
          <w:tcPr>
            <w:tcW w:w="314" w:type="pct"/>
          </w:tcPr>
          <w:p w:rsidR="00684463" w:rsidRPr="009A10F2" w:rsidRDefault="00684463" w:rsidP="00037B45">
            <w:pPr>
              <w:spacing w:beforeLines="60" w:afterLines="60"/>
              <w:rPr>
                <w:rFonts w:ascii="Verdana" w:hAnsi="Verdana" w:cs="Arial"/>
                <w:sz w:val="16"/>
                <w:szCs w:val="16"/>
              </w:rPr>
            </w:pPr>
          </w:p>
        </w:tc>
        <w:tc>
          <w:tcPr>
            <w:tcW w:w="380" w:type="pct"/>
          </w:tcPr>
          <w:p w:rsidR="00684463" w:rsidRPr="009A10F2" w:rsidRDefault="00123BBC" w:rsidP="00037B45">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684463" w:rsidRPr="009A10F2" w:rsidRDefault="00684463" w:rsidP="00037B45">
            <w:pPr>
              <w:autoSpaceDE w:val="0"/>
              <w:autoSpaceDN w:val="0"/>
              <w:adjustRightInd w:val="0"/>
              <w:spacing w:beforeLines="60" w:afterLines="60"/>
              <w:rPr>
                <w:rFonts w:ascii="Verdana" w:hAnsi="Verdana" w:cs="Arial"/>
                <w:sz w:val="20"/>
                <w:szCs w:val="20"/>
              </w:rPr>
            </w:pPr>
          </w:p>
        </w:tc>
      </w:tr>
      <w:tr w:rsidR="00123BBC" w:rsidRPr="009A10F2" w:rsidTr="00DD69A2">
        <w:trPr>
          <w:cantSplit/>
          <w:trHeight w:val="260"/>
        </w:trPr>
        <w:tc>
          <w:tcPr>
            <w:tcW w:w="314" w:type="pct"/>
          </w:tcPr>
          <w:p w:rsidR="00123BBC" w:rsidRPr="009A10F2" w:rsidRDefault="00123BBC" w:rsidP="00037B45">
            <w:pPr>
              <w:spacing w:beforeLines="60" w:afterLines="60"/>
              <w:jc w:val="center"/>
              <w:rPr>
                <w:rFonts w:ascii="Verdana" w:hAnsi="Verdana" w:cs="Arial"/>
                <w:sz w:val="16"/>
                <w:szCs w:val="16"/>
              </w:rPr>
            </w:pPr>
          </w:p>
        </w:tc>
        <w:tc>
          <w:tcPr>
            <w:tcW w:w="380" w:type="pct"/>
          </w:tcPr>
          <w:p w:rsidR="00123BBC" w:rsidRPr="009A10F2" w:rsidRDefault="00123BBC" w:rsidP="00037B45">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4B68A0" w:rsidRDefault="004B68A0" w:rsidP="00037B45">
            <w:pPr>
              <w:autoSpaceDE w:val="0"/>
              <w:autoSpaceDN w:val="0"/>
              <w:adjustRightInd w:val="0"/>
              <w:spacing w:beforeLines="60" w:afterLines="60"/>
              <w:rPr>
                <w:rFonts w:ascii="Verdana" w:hAnsi="Verdana" w:cs="Arial"/>
                <w:sz w:val="20"/>
                <w:szCs w:val="20"/>
              </w:rPr>
            </w:pPr>
            <w:r w:rsidRPr="004B68A0">
              <w:rPr>
                <w:rFonts w:ascii="Verdana" w:hAnsi="Verdana" w:cs="Arial"/>
                <w:b/>
                <w:bCs/>
                <w:sz w:val="20"/>
                <w:szCs w:val="20"/>
              </w:rPr>
              <w:t xml:space="preserve">Hazardous Materials Planning and Awareness – State Emergency Response Commission (SERC) for Hazardous Materials </w:t>
            </w:r>
            <w:r w:rsidRPr="004B68A0">
              <w:rPr>
                <w:rFonts w:ascii="Verdana" w:hAnsi="Verdana" w:cs="Arial"/>
                <w:sz w:val="20"/>
                <w:szCs w:val="20"/>
              </w:rPr>
              <w:t xml:space="preserve">- In response to a growing concern for safety around chemical facilities, Congress enacted EPCRA. EPCRA contains five sections which cover issues associated with the manufacture, use, exposure, and transportation, and public education of hazardous materials. It is the mission of Local Emergency Planning Committees (LEPCs) and the SERC to implement EPCRA in Florida and mitigate the effects of a release or spill of hazardous materials. The SERC serves as a technical advisor and information clearinghouse for state and federal hazardous materials programs. The Governor has designated DEM as the primary agency for coordinating and providing staff support the emergency planning and prevention requirements of EPCRA and </w:t>
            </w:r>
            <w:proofErr w:type="spellStart"/>
            <w:r w:rsidRPr="004B68A0">
              <w:rPr>
                <w:rFonts w:ascii="Verdana" w:hAnsi="Verdana" w:cs="Arial"/>
                <w:sz w:val="20"/>
                <w:szCs w:val="20"/>
              </w:rPr>
              <w:t>ch</w:t>
            </w:r>
            <w:proofErr w:type="spellEnd"/>
            <w:r w:rsidRPr="004B68A0">
              <w:rPr>
                <w:rFonts w:ascii="Verdana" w:hAnsi="Verdana" w:cs="Arial"/>
                <w:sz w:val="20"/>
                <w:szCs w:val="20"/>
              </w:rPr>
              <w:t>. 252, Part II, F.S.40</w:t>
            </w:r>
          </w:p>
          <w:p w:rsidR="00123BBC" w:rsidRPr="009A10F2" w:rsidRDefault="004B28B9" w:rsidP="00037B45">
            <w:pPr>
              <w:autoSpaceDE w:val="0"/>
              <w:autoSpaceDN w:val="0"/>
              <w:adjustRightInd w:val="0"/>
              <w:spacing w:beforeLines="60" w:afterLines="60"/>
              <w:rPr>
                <w:rFonts w:ascii="Verdana" w:hAnsi="Verdana" w:cs="Arial"/>
                <w:sz w:val="20"/>
                <w:szCs w:val="20"/>
              </w:rPr>
            </w:pPr>
            <w:r>
              <w:rPr>
                <w:rFonts w:ascii="Verdana" w:hAnsi="Verdana" w:cs="Arial"/>
                <w:i/>
                <w:iCs/>
                <w:sz w:val="20"/>
                <w:szCs w:val="20"/>
              </w:rPr>
              <w:t>Funding Information:</w:t>
            </w:r>
          </w:p>
        </w:tc>
      </w:tr>
      <w:tr w:rsidR="00123BBC" w:rsidRPr="009A10F2" w:rsidTr="00DD69A2">
        <w:trPr>
          <w:cantSplit/>
          <w:trHeight w:val="260"/>
        </w:trPr>
        <w:tc>
          <w:tcPr>
            <w:tcW w:w="314" w:type="pct"/>
          </w:tcPr>
          <w:p w:rsidR="00123BBC" w:rsidRPr="009A10F2" w:rsidRDefault="00123BBC" w:rsidP="00037B45">
            <w:pPr>
              <w:spacing w:beforeLines="60" w:afterLines="60"/>
              <w:rPr>
                <w:rFonts w:ascii="Verdana" w:hAnsi="Verdana" w:cs="Arial"/>
                <w:sz w:val="16"/>
                <w:szCs w:val="16"/>
              </w:rPr>
            </w:pPr>
          </w:p>
        </w:tc>
        <w:tc>
          <w:tcPr>
            <w:tcW w:w="380" w:type="pct"/>
          </w:tcPr>
          <w:p w:rsidR="00123BBC" w:rsidRPr="009A10F2" w:rsidRDefault="00123BBC" w:rsidP="00037B45">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123BBC" w:rsidRPr="009A10F2" w:rsidRDefault="00123BBC" w:rsidP="00037B45">
            <w:pPr>
              <w:autoSpaceDE w:val="0"/>
              <w:autoSpaceDN w:val="0"/>
              <w:adjustRightInd w:val="0"/>
              <w:spacing w:beforeLines="60" w:afterLines="60"/>
              <w:rPr>
                <w:rFonts w:ascii="Verdana" w:hAnsi="Verdana" w:cs="Arial"/>
                <w:sz w:val="20"/>
                <w:szCs w:val="20"/>
              </w:rPr>
            </w:pPr>
          </w:p>
        </w:tc>
      </w:tr>
      <w:tr w:rsidR="00123BBC" w:rsidRPr="009A10F2" w:rsidTr="00DD69A2">
        <w:trPr>
          <w:cantSplit/>
          <w:trHeight w:val="260"/>
        </w:trPr>
        <w:tc>
          <w:tcPr>
            <w:tcW w:w="314" w:type="pct"/>
          </w:tcPr>
          <w:p w:rsidR="00123BBC" w:rsidRPr="009A10F2" w:rsidRDefault="00123BBC" w:rsidP="00037B45">
            <w:pPr>
              <w:spacing w:beforeLines="60" w:afterLines="60"/>
              <w:rPr>
                <w:rFonts w:ascii="Verdana" w:hAnsi="Verdana" w:cs="Arial"/>
                <w:sz w:val="16"/>
                <w:szCs w:val="16"/>
              </w:rPr>
            </w:pPr>
          </w:p>
        </w:tc>
        <w:tc>
          <w:tcPr>
            <w:tcW w:w="380" w:type="pct"/>
          </w:tcPr>
          <w:p w:rsidR="00123BBC" w:rsidRPr="009A10F2" w:rsidRDefault="00123BBC" w:rsidP="00037B45">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123BBC" w:rsidRPr="009A10F2" w:rsidRDefault="00123BBC" w:rsidP="00037B45">
            <w:pPr>
              <w:autoSpaceDE w:val="0"/>
              <w:autoSpaceDN w:val="0"/>
              <w:adjustRightInd w:val="0"/>
              <w:spacing w:beforeLines="60" w:afterLines="60"/>
              <w:rPr>
                <w:rFonts w:ascii="Verdana" w:hAnsi="Verdana" w:cs="Arial"/>
                <w:sz w:val="20"/>
                <w:szCs w:val="20"/>
              </w:rPr>
            </w:pPr>
          </w:p>
        </w:tc>
      </w:tr>
      <w:tr w:rsidR="00DD69A2" w:rsidRPr="009A10F2" w:rsidTr="00DD69A2">
        <w:trPr>
          <w:cantSplit/>
          <w:trHeight w:val="573"/>
        </w:trPr>
        <w:tc>
          <w:tcPr>
            <w:tcW w:w="314" w:type="pct"/>
          </w:tcPr>
          <w:p w:rsidR="00DD69A2" w:rsidRPr="009A10F2" w:rsidRDefault="00DD69A2" w:rsidP="00037B45">
            <w:pPr>
              <w:spacing w:beforeLines="60" w:afterLines="60"/>
              <w:rPr>
                <w:rFonts w:ascii="Verdana" w:hAnsi="Verdana" w:cs="Arial"/>
                <w:i/>
                <w:sz w:val="16"/>
                <w:szCs w:val="16"/>
              </w:rPr>
            </w:pPr>
          </w:p>
        </w:tc>
        <w:tc>
          <w:tcPr>
            <w:tcW w:w="380" w:type="pct"/>
          </w:tcPr>
          <w:p w:rsidR="00DD69A2" w:rsidRPr="009A10F2" w:rsidRDefault="00DD69A2" w:rsidP="00037B45">
            <w:pPr>
              <w:spacing w:beforeLines="60" w:afterLines="60"/>
              <w:rPr>
                <w:rFonts w:ascii="Verdana" w:hAnsi="Verdana" w:cs="Arial"/>
                <w:i/>
                <w:sz w:val="16"/>
                <w:szCs w:val="16"/>
              </w:rPr>
            </w:pPr>
            <w:r>
              <w:rPr>
                <w:rFonts w:ascii="Verdana" w:hAnsi="Verdana" w:cs="Arial"/>
                <w:i/>
                <w:sz w:val="16"/>
                <w:szCs w:val="16"/>
              </w:rPr>
              <w:t>Modify</w:t>
            </w:r>
          </w:p>
        </w:tc>
        <w:tc>
          <w:tcPr>
            <w:tcW w:w="4306" w:type="pct"/>
            <w:vMerge/>
            <w:shd w:val="clear" w:color="auto" w:fill="E0E0E0"/>
          </w:tcPr>
          <w:p w:rsidR="00DD69A2" w:rsidRPr="009A10F2" w:rsidRDefault="00DD69A2" w:rsidP="00037B45">
            <w:pPr>
              <w:spacing w:beforeLines="60" w:afterLines="60"/>
              <w:rPr>
                <w:rFonts w:ascii="Verdana" w:hAnsi="Verdana" w:cs="Arial"/>
                <w:b/>
                <w:sz w:val="20"/>
                <w:szCs w:val="20"/>
              </w:rPr>
            </w:pPr>
          </w:p>
        </w:tc>
      </w:tr>
      <w:tr w:rsidR="00DD69A2" w:rsidRPr="009A10F2" w:rsidTr="00DD69A2">
        <w:trPr>
          <w:cantSplit/>
          <w:trHeight w:val="573"/>
        </w:trPr>
        <w:tc>
          <w:tcPr>
            <w:tcW w:w="314" w:type="pct"/>
          </w:tcPr>
          <w:p w:rsidR="00DD69A2" w:rsidRPr="009A10F2" w:rsidRDefault="00DD69A2" w:rsidP="00037B45">
            <w:pPr>
              <w:spacing w:beforeLines="60" w:afterLines="60"/>
              <w:rPr>
                <w:rFonts w:ascii="Verdana" w:hAnsi="Verdana" w:cs="Arial"/>
                <w:i/>
                <w:sz w:val="16"/>
                <w:szCs w:val="16"/>
              </w:rPr>
            </w:pPr>
          </w:p>
        </w:tc>
        <w:tc>
          <w:tcPr>
            <w:tcW w:w="380" w:type="pct"/>
          </w:tcPr>
          <w:p w:rsidR="00DD69A2" w:rsidRPr="009A10F2" w:rsidRDefault="00DD69A2" w:rsidP="00037B45">
            <w:pPr>
              <w:spacing w:beforeLines="60" w:afterLines="60"/>
              <w:rPr>
                <w:rFonts w:ascii="Verdana" w:hAnsi="Verdana" w:cs="Arial"/>
                <w:i/>
                <w:sz w:val="16"/>
                <w:szCs w:val="16"/>
              </w:rPr>
            </w:pPr>
            <w:r>
              <w:rPr>
                <w:rFonts w:ascii="Verdana" w:hAnsi="Verdana" w:cs="Arial"/>
                <w:i/>
                <w:sz w:val="16"/>
                <w:szCs w:val="16"/>
              </w:rPr>
              <w:t>Abolish</w:t>
            </w:r>
          </w:p>
        </w:tc>
        <w:tc>
          <w:tcPr>
            <w:tcW w:w="4306" w:type="pct"/>
            <w:vMerge/>
            <w:shd w:val="clear" w:color="auto" w:fill="E0E0E0"/>
          </w:tcPr>
          <w:p w:rsidR="00DD69A2" w:rsidRPr="009A10F2" w:rsidRDefault="00DD69A2" w:rsidP="00037B45">
            <w:pPr>
              <w:spacing w:beforeLines="60" w:afterLines="60"/>
              <w:rPr>
                <w:rFonts w:ascii="Verdana" w:hAnsi="Verdana" w:cs="Arial"/>
                <w:b/>
                <w:sz w:val="20"/>
                <w:szCs w:val="20"/>
              </w:rPr>
            </w:pPr>
          </w:p>
        </w:tc>
      </w:tr>
      <w:tr w:rsidR="00573F75" w:rsidRPr="009A10F2" w:rsidTr="00FC6066">
        <w:trPr>
          <w:cantSplit/>
          <w:trHeight w:val="340"/>
        </w:trPr>
        <w:tc>
          <w:tcPr>
            <w:tcW w:w="314" w:type="pct"/>
          </w:tcPr>
          <w:p w:rsidR="00573F75" w:rsidRPr="009A10F2" w:rsidRDefault="00573F75" w:rsidP="00037B45">
            <w:pPr>
              <w:spacing w:beforeLines="60" w:afterLines="60"/>
              <w:jc w:val="center"/>
              <w:rPr>
                <w:rFonts w:ascii="Verdana" w:hAnsi="Verdana" w:cs="Arial"/>
                <w:sz w:val="16"/>
                <w:szCs w:val="16"/>
              </w:rPr>
            </w:pPr>
          </w:p>
        </w:tc>
        <w:tc>
          <w:tcPr>
            <w:tcW w:w="380" w:type="pct"/>
          </w:tcPr>
          <w:p w:rsidR="00573F75" w:rsidRPr="009A10F2" w:rsidRDefault="00573F75" w:rsidP="00037B45">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4B68A0" w:rsidRDefault="004B68A0" w:rsidP="00037B45">
            <w:pPr>
              <w:autoSpaceDE w:val="0"/>
              <w:autoSpaceDN w:val="0"/>
              <w:adjustRightInd w:val="0"/>
              <w:spacing w:beforeLines="60" w:afterLines="60"/>
              <w:rPr>
                <w:rFonts w:ascii="Verdana" w:hAnsi="Verdana" w:cs="Arial"/>
                <w:sz w:val="20"/>
                <w:szCs w:val="20"/>
              </w:rPr>
            </w:pPr>
            <w:r w:rsidRPr="004B68A0">
              <w:rPr>
                <w:rFonts w:ascii="Verdana" w:hAnsi="Verdana" w:cs="Arial"/>
                <w:b/>
                <w:bCs/>
                <w:sz w:val="20"/>
                <w:szCs w:val="20"/>
              </w:rPr>
              <w:t xml:space="preserve">Hazardous Materials Planning and Prevention Program </w:t>
            </w:r>
            <w:r w:rsidRPr="004B68A0">
              <w:rPr>
                <w:rFonts w:ascii="Verdana" w:hAnsi="Verdana" w:cs="Arial"/>
                <w:sz w:val="20"/>
                <w:szCs w:val="20"/>
              </w:rPr>
              <w:t>- The program ensures that facilities are prepared to respond to, prevent, and detect accidental releases associated with regulated substances. Facilities are required to prepare and file a Risk Management Plan that includes a description of the facility’s Hazard Assessment, Accidental Release Prevention Programs, and an Emergency Response Program. Program implementation is performed by three sections within DEM. The Verification Unit provides technical assistance to facilities regarding compliance with the federal and state EPCRA acts. Unit personnel maintain a database of all the reporting facilities and their chemical inventories. The Compliance Review Unit serves as the planning unit. The Risk Management Planning Unit provides technical assistance and conducts facility audits to ensure that subject facilities are compliant with Florida’s Accidental Release Prevention and Risk Management Planning Act.</w:t>
            </w:r>
          </w:p>
          <w:p w:rsidR="00573F75" w:rsidRPr="009A10F2" w:rsidRDefault="004B28B9" w:rsidP="00037B45">
            <w:pPr>
              <w:autoSpaceDE w:val="0"/>
              <w:autoSpaceDN w:val="0"/>
              <w:adjustRightInd w:val="0"/>
              <w:spacing w:beforeLines="60" w:afterLines="60"/>
              <w:rPr>
                <w:rFonts w:ascii="Verdana" w:hAnsi="Verdana" w:cs="Arial"/>
                <w:sz w:val="20"/>
                <w:szCs w:val="20"/>
              </w:rPr>
            </w:pPr>
            <w:r>
              <w:rPr>
                <w:rFonts w:ascii="Verdana" w:hAnsi="Verdana" w:cs="Arial"/>
                <w:i/>
                <w:iCs/>
                <w:sz w:val="20"/>
                <w:szCs w:val="20"/>
              </w:rPr>
              <w:t>Funding Information:</w:t>
            </w:r>
          </w:p>
        </w:tc>
      </w:tr>
      <w:tr w:rsidR="00573F75" w:rsidRPr="009A10F2" w:rsidTr="00FC6066">
        <w:trPr>
          <w:cantSplit/>
          <w:trHeight w:val="340"/>
        </w:trPr>
        <w:tc>
          <w:tcPr>
            <w:tcW w:w="314" w:type="pct"/>
          </w:tcPr>
          <w:p w:rsidR="00573F75" w:rsidRPr="009A10F2" w:rsidRDefault="00573F75" w:rsidP="00037B45">
            <w:pPr>
              <w:spacing w:beforeLines="60" w:afterLines="60"/>
              <w:jc w:val="center"/>
              <w:rPr>
                <w:rFonts w:ascii="Verdana" w:hAnsi="Verdana" w:cs="Arial"/>
                <w:sz w:val="16"/>
                <w:szCs w:val="16"/>
              </w:rPr>
            </w:pPr>
          </w:p>
        </w:tc>
        <w:tc>
          <w:tcPr>
            <w:tcW w:w="380" w:type="pct"/>
          </w:tcPr>
          <w:p w:rsidR="00573F75" w:rsidRPr="009A10F2" w:rsidRDefault="00573F75" w:rsidP="00037B45">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573F75" w:rsidRPr="009A10F2" w:rsidRDefault="00573F75" w:rsidP="00037B45">
            <w:pPr>
              <w:numPr>
                <w:ilvl w:val="0"/>
                <w:numId w:val="29"/>
              </w:numPr>
              <w:autoSpaceDE w:val="0"/>
              <w:autoSpaceDN w:val="0"/>
              <w:adjustRightInd w:val="0"/>
              <w:spacing w:beforeLines="60" w:afterLines="60"/>
              <w:rPr>
                <w:rFonts w:ascii="Verdana" w:hAnsi="Verdana" w:cs="Arial"/>
                <w:sz w:val="20"/>
                <w:szCs w:val="20"/>
              </w:rPr>
            </w:pPr>
          </w:p>
        </w:tc>
      </w:tr>
      <w:tr w:rsidR="00573F75" w:rsidRPr="009A10F2" w:rsidTr="00FC6066">
        <w:trPr>
          <w:cantSplit/>
          <w:trHeight w:val="340"/>
        </w:trPr>
        <w:tc>
          <w:tcPr>
            <w:tcW w:w="314" w:type="pct"/>
          </w:tcPr>
          <w:p w:rsidR="00573F75" w:rsidRPr="009A10F2" w:rsidRDefault="00573F75" w:rsidP="00037B45">
            <w:pPr>
              <w:spacing w:beforeLines="60" w:afterLines="60"/>
              <w:rPr>
                <w:rFonts w:ascii="Verdana" w:hAnsi="Verdana" w:cs="Arial"/>
                <w:sz w:val="16"/>
                <w:szCs w:val="16"/>
              </w:rPr>
            </w:pPr>
          </w:p>
        </w:tc>
        <w:tc>
          <w:tcPr>
            <w:tcW w:w="380" w:type="pct"/>
          </w:tcPr>
          <w:p w:rsidR="00573F75" w:rsidRPr="009A10F2" w:rsidRDefault="00573F75" w:rsidP="00037B45">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573F75" w:rsidRPr="009A10F2" w:rsidRDefault="00573F75" w:rsidP="00037B45">
            <w:pPr>
              <w:numPr>
                <w:ilvl w:val="0"/>
                <w:numId w:val="29"/>
              </w:numPr>
              <w:autoSpaceDE w:val="0"/>
              <w:autoSpaceDN w:val="0"/>
              <w:adjustRightInd w:val="0"/>
              <w:spacing w:beforeLines="60" w:afterLines="60"/>
              <w:rPr>
                <w:rFonts w:ascii="Verdana" w:hAnsi="Verdana" w:cs="Arial"/>
                <w:sz w:val="20"/>
                <w:szCs w:val="20"/>
              </w:rPr>
            </w:pPr>
          </w:p>
        </w:tc>
      </w:tr>
      <w:tr w:rsidR="004B28B9" w:rsidRPr="009A10F2" w:rsidTr="001B5A7F">
        <w:trPr>
          <w:cantSplit/>
          <w:trHeight w:val="385"/>
        </w:trPr>
        <w:tc>
          <w:tcPr>
            <w:tcW w:w="314" w:type="pct"/>
          </w:tcPr>
          <w:p w:rsidR="004B28B9" w:rsidRPr="009A10F2" w:rsidRDefault="004B28B9" w:rsidP="00037B45">
            <w:pPr>
              <w:keepNext/>
              <w:keepLines/>
              <w:spacing w:beforeLines="60" w:afterLines="60"/>
              <w:jc w:val="center"/>
              <w:rPr>
                <w:rFonts w:ascii="Verdana" w:hAnsi="Verdana" w:cs="Arial"/>
                <w:sz w:val="16"/>
                <w:szCs w:val="16"/>
              </w:rPr>
            </w:pPr>
          </w:p>
        </w:tc>
        <w:tc>
          <w:tcPr>
            <w:tcW w:w="380" w:type="pct"/>
          </w:tcPr>
          <w:p w:rsidR="004B28B9" w:rsidRPr="009A10F2" w:rsidRDefault="004B28B9" w:rsidP="00037B45">
            <w:pPr>
              <w:keepNext/>
              <w:keepLines/>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shd w:val="clear" w:color="auto" w:fill="auto"/>
          </w:tcPr>
          <w:p w:rsidR="004B28B9" w:rsidRDefault="004B28B9" w:rsidP="00037B45">
            <w:pPr>
              <w:keepNext/>
              <w:keepLines/>
              <w:autoSpaceDE w:val="0"/>
              <w:autoSpaceDN w:val="0"/>
              <w:adjustRightInd w:val="0"/>
              <w:spacing w:beforeLines="60" w:afterLines="60"/>
              <w:rPr>
                <w:rFonts w:ascii="Verdana" w:hAnsi="Verdana" w:cs="Arial"/>
                <w:sz w:val="20"/>
                <w:szCs w:val="20"/>
              </w:rPr>
            </w:pPr>
            <w:r w:rsidRPr="00635614">
              <w:rPr>
                <w:rFonts w:ascii="Verdana" w:hAnsi="Verdana" w:cs="Arial"/>
                <w:b/>
                <w:bCs/>
                <w:sz w:val="20"/>
                <w:szCs w:val="20"/>
              </w:rPr>
              <w:t xml:space="preserve">Hurricane Program </w:t>
            </w:r>
            <w:r w:rsidRPr="00635614">
              <w:rPr>
                <w:rFonts w:ascii="Verdana" w:hAnsi="Verdana" w:cs="Arial"/>
                <w:sz w:val="20"/>
                <w:szCs w:val="20"/>
              </w:rPr>
              <w:t xml:space="preserve">- The purpose of the Hurricane Program is to coordinate the development and update of Florida’s eleven regional hurricane evacuation studies. The State’s program is modeled after FEMA’s National Hurricane Program. As part of this program, DEM serves as the evacuation technical expert during emergency and non-emergency situations. DEM is currently administering a program called GIS/LIDAR (Light Detection and Ranging). DEM will use this data to more accurately predict coastal flooding surge zones and improve the State’s ability to direct timely hurricane evacuations. </w:t>
            </w:r>
          </w:p>
          <w:p w:rsidR="004B28B9" w:rsidRPr="009A10F2" w:rsidRDefault="004B28B9" w:rsidP="00037B45">
            <w:pPr>
              <w:keepNext/>
              <w:keepLines/>
              <w:autoSpaceDE w:val="0"/>
              <w:autoSpaceDN w:val="0"/>
              <w:adjustRightInd w:val="0"/>
              <w:spacing w:beforeLines="60" w:afterLines="60"/>
              <w:rPr>
                <w:rFonts w:ascii="Verdana" w:hAnsi="Verdana" w:cs="Arial"/>
                <w:sz w:val="20"/>
                <w:szCs w:val="20"/>
              </w:rPr>
            </w:pPr>
            <w:r>
              <w:rPr>
                <w:rFonts w:ascii="Verdana" w:hAnsi="Verdana" w:cs="Arial"/>
                <w:i/>
                <w:iCs/>
                <w:sz w:val="20"/>
                <w:szCs w:val="20"/>
              </w:rPr>
              <w:t>Funding Information:</w:t>
            </w:r>
          </w:p>
        </w:tc>
      </w:tr>
      <w:tr w:rsidR="004B28B9" w:rsidRPr="009A10F2" w:rsidTr="001B5A7F">
        <w:trPr>
          <w:cantSplit/>
          <w:trHeight w:val="575"/>
        </w:trPr>
        <w:tc>
          <w:tcPr>
            <w:tcW w:w="314" w:type="pct"/>
          </w:tcPr>
          <w:p w:rsidR="004B28B9" w:rsidRPr="009A10F2" w:rsidRDefault="004B28B9" w:rsidP="00037B45">
            <w:pPr>
              <w:spacing w:beforeLines="60" w:afterLines="60"/>
              <w:jc w:val="center"/>
              <w:rPr>
                <w:rFonts w:ascii="Verdana" w:hAnsi="Verdana" w:cs="Arial"/>
                <w:i/>
                <w:sz w:val="16"/>
                <w:szCs w:val="16"/>
              </w:rPr>
            </w:pPr>
          </w:p>
        </w:tc>
        <w:tc>
          <w:tcPr>
            <w:tcW w:w="380" w:type="pct"/>
          </w:tcPr>
          <w:p w:rsidR="004B28B9" w:rsidRPr="009A10F2" w:rsidRDefault="004B28B9" w:rsidP="00037B45">
            <w:pPr>
              <w:spacing w:beforeLines="60" w:afterLines="60"/>
              <w:rPr>
                <w:rFonts w:ascii="Verdana" w:hAnsi="Verdana" w:cs="Arial"/>
                <w:i/>
                <w:sz w:val="16"/>
                <w:szCs w:val="16"/>
              </w:rPr>
            </w:pPr>
            <w:r>
              <w:rPr>
                <w:rFonts w:ascii="Verdana" w:hAnsi="Verdana" w:cs="Arial"/>
                <w:i/>
                <w:sz w:val="16"/>
                <w:szCs w:val="16"/>
              </w:rPr>
              <w:t>Continue</w:t>
            </w:r>
          </w:p>
        </w:tc>
        <w:tc>
          <w:tcPr>
            <w:tcW w:w="4306" w:type="pct"/>
            <w:shd w:val="clear" w:color="auto" w:fill="auto"/>
          </w:tcPr>
          <w:p w:rsidR="004B28B9" w:rsidRDefault="004B28B9" w:rsidP="00037B45">
            <w:pPr>
              <w:autoSpaceDE w:val="0"/>
              <w:autoSpaceDN w:val="0"/>
              <w:adjustRightInd w:val="0"/>
              <w:spacing w:beforeLines="60" w:afterLines="60"/>
              <w:rPr>
                <w:rFonts w:ascii="Verdana" w:hAnsi="Verdana" w:cs="Arial"/>
                <w:sz w:val="20"/>
                <w:szCs w:val="20"/>
              </w:rPr>
            </w:pPr>
            <w:r w:rsidRPr="004B68A0">
              <w:rPr>
                <w:rFonts w:ascii="Verdana" w:hAnsi="Verdana" w:cs="Arial"/>
                <w:b/>
                <w:bCs/>
                <w:sz w:val="20"/>
                <w:szCs w:val="20"/>
              </w:rPr>
              <w:t xml:space="preserve">United States Department of Transportation Hazardous Materials Emergency Preparedness Program </w:t>
            </w:r>
            <w:r w:rsidRPr="004B68A0">
              <w:rPr>
                <w:rFonts w:ascii="Verdana" w:hAnsi="Verdana" w:cs="Arial"/>
                <w:sz w:val="20"/>
                <w:szCs w:val="20"/>
              </w:rPr>
              <w:t>- The federal Hazardous Materials Transportation Uniform Safety Act of 1990 established the Hazardous Materials Emergency Preparedness (HMEP) grants program.</w:t>
            </w:r>
            <w:r>
              <w:rPr>
                <w:rFonts w:ascii="Verdana" w:hAnsi="Verdana" w:cs="Arial"/>
                <w:sz w:val="20"/>
                <w:szCs w:val="20"/>
              </w:rPr>
              <w:t xml:space="preserve"> </w:t>
            </w:r>
            <w:r w:rsidRPr="004B68A0">
              <w:rPr>
                <w:rFonts w:ascii="Verdana" w:hAnsi="Verdana" w:cs="Arial"/>
                <w:sz w:val="20"/>
                <w:szCs w:val="20"/>
              </w:rPr>
              <w:t xml:space="preserve">HMEP grant awards are made for both planning and training. As provided by federal law, at least 75 percent of planning grant funding must be passed through to the LEPCs and 75 percent of training funds must benefit local firefighter, law enforcement, or other public responder groups. DEM serves as the state administrative agency for administering the HMEP grants program. </w:t>
            </w:r>
          </w:p>
          <w:p w:rsidR="004B28B9" w:rsidRPr="009A10F2" w:rsidRDefault="004B28B9" w:rsidP="00037B45">
            <w:pPr>
              <w:autoSpaceDE w:val="0"/>
              <w:autoSpaceDN w:val="0"/>
              <w:adjustRightInd w:val="0"/>
              <w:spacing w:beforeLines="60" w:afterLines="60"/>
              <w:rPr>
                <w:rFonts w:ascii="Verdana" w:hAnsi="Verdana" w:cs="Arial"/>
                <w:sz w:val="20"/>
                <w:szCs w:val="20"/>
              </w:rPr>
            </w:pPr>
            <w:r>
              <w:rPr>
                <w:rFonts w:ascii="Verdana" w:hAnsi="Verdana" w:cs="Arial"/>
                <w:i/>
                <w:iCs/>
                <w:sz w:val="20"/>
                <w:szCs w:val="20"/>
              </w:rPr>
              <w:t>Funding Information:</w:t>
            </w:r>
          </w:p>
        </w:tc>
      </w:tr>
      <w:tr w:rsidR="00080637" w:rsidRPr="009A10F2" w:rsidTr="00080637">
        <w:trPr>
          <w:cantSplit/>
          <w:trHeight w:val="520"/>
        </w:trPr>
        <w:tc>
          <w:tcPr>
            <w:tcW w:w="314" w:type="pct"/>
          </w:tcPr>
          <w:p w:rsidR="00080637" w:rsidRPr="009A10F2" w:rsidRDefault="00080637" w:rsidP="00037B45">
            <w:pPr>
              <w:spacing w:beforeLines="60" w:afterLines="60"/>
              <w:jc w:val="center"/>
              <w:rPr>
                <w:rFonts w:ascii="Verdana" w:hAnsi="Verdana" w:cs="Arial"/>
                <w:sz w:val="16"/>
                <w:szCs w:val="16"/>
              </w:rPr>
            </w:pPr>
          </w:p>
        </w:tc>
        <w:tc>
          <w:tcPr>
            <w:tcW w:w="380" w:type="pct"/>
          </w:tcPr>
          <w:p w:rsidR="00080637" w:rsidRPr="009A10F2" w:rsidRDefault="00FC6066" w:rsidP="00037B45">
            <w:pPr>
              <w:spacing w:beforeLines="60" w:afterLines="60"/>
              <w:rPr>
                <w:rFonts w:ascii="Verdana" w:hAnsi="Verdana" w:cs="Arial"/>
                <w:sz w:val="16"/>
                <w:szCs w:val="16"/>
              </w:rPr>
            </w:pPr>
            <w:r>
              <w:rPr>
                <w:rFonts w:ascii="Verdana" w:hAnsi="Verdana" w:cs="Arial"/>
                <w:sz w:val="16"/>
                <w:szCs w:val="16"/>
              </w:rPr>
              <w:t>Continue</w:t>
            </w:r>
          </w:p>
        </w:tc>
        <w:tc>
          <w:tcPr>
            <w:tcW w:w="4306" w:type="pct"/>
            <w:vMerge w:val="restart"/>
          </w:tcPr>
          <w:p w:rsidR="004B68A0" w:rsidRDefault="004B68A0" w:rsidP="00037B45">
            <w:pPr>
              <w:autoSpaceDE w:val="0"/>
              <w:autoSpaceDN w:val="0"/>
              <w:adjustRightInd w:val="0"/>
              <w:spacing w:beforeLines="60" w:afterLines="60"/>
              <w:rPr>
                <w:rFonts w:ascii="Verdana" w:hAnsi="Verdana" w:cs="Arial"/>
                <w:sz w:val="20"/>
                <w:szCs w:val="20"/>
              </w:rPr>
            </w:pPr>
            <w:r w:rsidRPr="004B68A0">
              <w:rPr>
                <w:rFonts w:ascii="Verdana" w:hAnsi="Verdana" w:cs="Arial"/>
                <w:b/>
                <w:bCs/>
                <w:sz w:val="20"/>
                <w:szCs w:val="20"/>
              </w:rPr>
              <w:t xml:space="preserve">Continuity of Operations Program </w:t>
            </w:r>
            <w:r w:rsidRPr="004B68A0">
              <w:rPr>
                <w:rFonts w:ascii="Verdana" w:hAnsi="Verdana" w:cs="Arial"/>
                <w:sz w:val="20"/>
                <w:szCs w:val="20"/>
              </w:rPr>
              <w:t>- The Continuity of Operations Program (COOP) is not a part of the domestic security program but is closely related to both domestic security and emergency management. COOP prepares all levels of government and the private sector for continued operations in the event of a natural or man-made disaster. Although the program is not mandated by federal law, Federal Preparedness Circular 65 of July 26, 1999 provides guidance on COOP and encourages participation. DEM administers COOP including federal funding for county COOPs directed through DEM in accordance with the Governor’s Executive Orders 01-262 of September 11, 2001 and 01-300 of October 11, 2001. Section 252.365, F.S., requires all state agencies to have an Emergency Coordination Officer and a disaster preparedness plan.</w:t>
            </w:r>
          </w:p>
          <w:p w:rsidR="00080637" w:rsidRPr="009A10F2" w:rsidRDefault="004B28B9" w:rsidP="00037B45">
            <w:pPr>
              <w:autoSpaceDE w:val="0"/>
              <w:autoSpaceDN w:val="0"/>
              <w:adjustRightInd w:val="0"/>
              <w:spacing w:beforeLines="60" w:afterLines="60"/>
              <w:rPr>
                <w:rFonts w:ascii="Verdana" w:hAnsi="Verdana" w:cs="Arial"/>
                <w:sz w:val="20"/>
                <w:szCs w:val="20"/>
              </w:rPr>
            </w:pPr>
            <w:r>
              <w:rPr>
                <w:rFonts w:ascii="Verdana" w:hAnsi="Verdana" w:cs="Arial"/>
                <w:i/>
                <w:iCs/>
                <w:sz w:val="20"/>
                <w:szCs w:val="20"/>
              </w:rPr>
              <w:t>Funding Information:</w:t>
            </w:r>
          </w:p>
        </w:tc>
      </w:tr>
      <w:tr w:rsidR="00080637" w:rsidRPr="009A10F2" w:rsidTr="00080637">
        <w:trPr>
          <w:cantSplit/>
          <w:trHeight w:val="518"/>
        </w:trPr>
        <w:tc>
          <w:tcPr>
            <w:tcW w:w="314" w:type="pct"/>
          </w:tcPr>
          <w:p w:rsidR="00080637" w:rsidRPr="009A10F2" w:rsidRDefault="00080637" w:rsidP="00037B45">
            <w:pPr>
              <w:spacing w:beforeLines="60" w:afterLines="60"/>
              <w:jc w:val="center"/>
              <w:rPr>
                <w:rFonts w:ascii="Verdana" w:hAnsi="Verdana" w:cs="Arial"/>
                <w:sz w:val="16"/>
                <w:szCs w:val="16"/>
              </w:rPr>
            </w:pPr>
          </w:p>
        </w:tc>
        <w:tc>
          <w:tcPr>
            <w:tcW w:w="380" w:type="pct"/>
          </w:tcPr>
          <w:p w:rsidR="00080637" w:rsidRPr="009A10F2" w:rsidRDefault="00FC6066" w:rsidP="00037B45">
            <w:pPr>
              <w:spacing w:beforeLines="60" w:afterLines="60"/>
              <w:rPr>
                <w:rFonts w:ascii="Verdana" w:hAnsi="Verdana" w:cs="Arial"/>
                <w:sz w:val="16"/>
                <w:szCs w:val="16"/>
              </w:rPr>
            </w:pPr>
            <w:r>
              <w:rPr>
                <w:rFonts w:ascii="Verdana" w:hAnsi="Verdana" w:cs="Arial"/>
                <w:sz w:val="16"/>
                <w:szCs w:val="16"/>
              </w:rPr>
              <w:t>Modify</w:t>
            </w:r>
          </w:p>
        </w:tc>
        <w:tc>
          <w:tcPr>
            <w:tcW w:w="4306" w:type="pct"/>
            <w:vMerge/>
          </w:tcPr>
          <w:p w:rsidR="00080637" w:rsidRPr="009A10F2" w:rsidRDefault="00080637" w:rsidP="00037B45">
            <w:pPr>
              <w:numPr>
                <w:ilvl w:val="0"/>
                <w:numId w:val="29"/>
              </w:numPr>
              <w:autoSpaceDE w:val="0"/>
              <w:autoSpaceDN w:val="0"/>
              <w:adjustRightInd w:val="0"/>
              <w:spacing w:beforeLines="60" w:afterLines="60"/>
              <w:rPr>
                <w:rFonts w:ascii="Verdana" w:hAnsi="Verdana" w:cs="Arial"/>
                <w:sz w:val="20"/>
                <w:szCs w:val="20"/>
              </w:rPr>
            </w:pPr>
          </w:p>
        </w:tc>
      </w:tr>
      <w:tr w:rsidR="00080637" w:rsidRPr="009A10F2" w:rsidTr="00080637">
        <w:trPr>
          <w:cantSplit/>
          <w:trHeight w:val="518"/>
        </w:trPr>
        <w:tc>
          <w:tcPr>
            <w:tcW w:w="314" w:type="pct"/>
          </w:tcPr>
          <w:p w:rsidR="00080637" w:rsidRPr="009A10F2" w:rsidRDefault="00080637" w:rsidP="00037B45">
            <w:pPr>
              <w:spacing w:beforeLines="60" w:afterLines="60"/>
              <w:rPr>
                <w:rFonts w:ascii="Verdana" w:hAnsi="Verdana" w:cs="Arial"/>
                <w:sz w:val="16"/>
                <w:szCs w:val="16"/>
              </w:rPr>
            </w:pPr>
          </w:p>
        </w:tc>
        <w:tc>
          <w:tcPr>
            <w:tcW w:w="380" w:type="pct"/>
          </w:tcPr>
          <w:p w:rsidR="00080637" w:rsidRPr="009A10F2" w:rsidRDefault="00FC6066" w:rsidP="00037B45">
            <w:pPr>
              <w:spacing w:beforeLines="60" w:afterLines="60"/>
              <w:rPr>
                <w:rFonts w:ascii="Verdana" w:hAnsi="Verdana" w:cs="Arial"/>
                <w:sz w:val="16"/>
                <w:szCs w:val="16"/>
              </w:rPr>
            </w:pPr>
            <w:r>
              <w:rPr>
                <w:rFonts w:ascii="Verdana" w:hAnsi="Verdana" w:cs="Arial"/>
                <w:sz w:val="16"/>
                <w:szCs w:val="16"/>
              </w:rPr>
              <w:t>Abolish</w:t>
            </w:r>
          </w:p>
        </w:tc>
        <w:tc>
          <w:tcPr>
            <w:tcW w:w="4306" w:type="pct"/>
            <w:vMerge/>
          </w:tcPr>
          <w:p w:rsidR="00080637" w:rsidRPr="009A10F2" w:rsidRDefault="00080637" w:rsidP="00037B45">
            <w:pPr>
              <w:numPr>
                <w:ilvl w:val="0"/>
                <w:numId w:val="29"/>
              </w:numPr>
              <w:autoSpaceDE w:val="0"/>
              <w:autoSpaceDN w:val="0"/>
              <w:adjustRightInd w:val="0"/>
              <w:spacing w:beforeLines="60" w:afterLines="60"/>
              <w:rPr>
                <w:rFonts w:ascii="Verdana" w:hAnsi="Verdana" w:cs="Arial"/>
                <w:sz w:val="20"/>
                <w:szCs w:val="20"/>
              </w:rPr>
            </w:pPr>
          </w:p>
        </w:tc>
      </w:tr>
      <w:tr w:rsidR="00A92B26" w:rsidRPr="009A10F2" w:rsidTr="008678C5">
        <w:trPr>
          <w:cantSplit/>
        </w:trPr>
        <w:tc>
          <w:tcPr>
            <w:tcW w:w="5000" w:type="pct"/>
            <w:gridSpan w:val="3"/>
            <w:shd w:val="pct10" w:color="auto" w:fill="auto"/>
          </w:tcPr>
          <w:p w:rsidR="00A92B26" w:rsidRPr="00635614" w:rsidRDefault="00690BB4" w:rsidP="00037B45">
            <w:pPr>
              <w:spacing w:beforeLines="60" w:afterLines="60"/>
              <w:ind w:left="720"/>
              <w:rPr>
                <w:rFonts w:ascii="Verdana" w:hAnsi="Verdana" w:cs="Arial"/>
                <w:sz w:val="20"/>
                <w:szCs w:val="20"/>
              </w:rPr>
            </w:pPr>
            <w:r>
              <w:br w:type="page"/>
            </w:r>
            <w:r w:rsidR="00A92B26">
              <w:rPr>
                <w:rFonts w:ascii="Verdana" w:hAnsi="Verdana"/>
                <w:b/>
                <w:bCs/>
                <w:i/>
                <w:iCs/>
                <w:sz w:val="20"/>
                <w:szCs w:val="20"/>
              </w:rPr>
              <w:t>Response</w:t>
            </w:r>
          </w:p>
        </w:tc>
      </w:tr>
      <w:tr w:rsidR="00690BB4" w:rsidRPr="009A10F2" w:rsidTr="00690BB4">
        <w:trPr>
          <w:cantSplit/>
          <w:trHeight w:val="426"/>
        </w:trPr>
        <w:tc>
          <w:tcPr>
            <w:tcW w:w="314" w:type="pct"/>
          </w:tcPr>
          <w:p w:rsidR="00690BB4" w:rsidRPr="009A10F2" w:rsidRDefault="00690BB4" w:rsidP="00037B45">
            <w:pPr>
              <w:spacing w:beforeLines="60" w:afterLines="60"/>
              <w:jc w:val="center"/>
              <w:rPr>
                <w:rFonts w:ascii="Verdana" w:hAnsi="Verdana" w:cs="Arial"/>
                <w:sz w:val="16"/>
                <w:szCs w:val="16"/>
              </w:rPr>
            </w:pPr>
          </w:p>
        </w:tc>
        <w:tc>
          <w:tcPr>
            <w:tcW w:w="380" w:type="pct"/>
          </w:tcPr>
          <w:p w:rsidR="00690BB4" w:rsidRPr="009A10F2" w:rsidRDefault="00690BB4" w:rsidP="00037B45">
            <w:pPr>
              <w:spacing w:beforeLines="60" w:afterLines="60"/>
              <w:rPr>
                <w:rFonts w:ascii="Verdana" w:hAnsi="Verdana" w:cs="Arial"/>
                <w:sz w:val="16"/>
                <w:szCs w:val="16"/>
              </w:rPr>
            </w:pPr>
            <w:r>
              <w:rPr>
                <w:rFonts w:ascii="Verdana" w:hAnsi="Verdana" w:cs="Arial"/>
                <w:sz w:val="16"/>
                <w:szCs w:val="16"/>
              </w:rPr>
              <w:t>Continue</w:t>
            </w:r>
          </w:p>
        </w:tc>
        <w:tc>
          <w:tcPr>
            <w:tcW w:w="4306" w:type="pct"/>
            <w:vMerge w:val="restart"/>
          </w:tcPr>
          <w:p w:rsidR="00690BB4" w:rsidRDefault="00690BB4" w:rsidP="00037B45">
            <w:pPr>
              <w:autoSpaceDE w:val="0"/>
              <w:autoSpaceDN w:val="0"/>
              <w:adjustRightInd w:val="0"/>
              <w:spacing w:beforeLines="60" w:afterLines="60"/>
              <w:rPr>
                <w:rFonts w:ascii="Verdana" w:hAnsi="Verdana" w:cs="Arial"/>
                <w:sz w:val="20"/>
                <w:szCs w:val="20"/>
              </w:rPr>
            </w:pPr>
            <w:r w:rsidRPr="004B68A0">
              <w:rPr>
                <w:rFonts w:ascii="Verdana" w:hAnsi="Verdana" w:cs="Arial"/>
                <w:b/>
                <w:bCs/>
                <w:sz w:val="20"/>
                <w:szCs w:val="20"/>
              </w:rPr>
              <w:t xml:space="preserve">Domestic Security Program </w:t>
            </w:r>
            <w:r w:rsidRPr="004B68A0">
              <w:rPr>
                <w:rFonts w:ascii="Verdana" w:hAnsi="Verdana" w:cs="Arial"/>
                <w:sz w:val="20"/>
                <w:szCs w:val="20"/>
              </w:rPr>
              <w:t xml:space="preserve">- Florida’s domestic security program is implemented in cooperation with state and local governments and key private sector partners to ensure an integrated plan is designed to meet the threat posed by terrorists and acts of terrorism. </w:t>
            </w:r>
            <w:r>
              <w:rPr>
                <w:rFonts w:ascii="Verdana" w:hAnsi="Verdana" w:cs="Arial"/>
                <w:sz w:val="20"/>
                <w:szCs w:val="20"/>
              </w:rPr>
              <w:t xml:space="preserve"> </w:t>
            </w:r>
            <w:r w:rsidRPr="004B68A0">
              <w:rPr>
                <w:rFonts w:ascii="Verdana" w:hAnsi="Verdana" w:cs="Arial"/>
                <w:sz w:val="20"/>
                <w:szCs w:val="20"/>
              </w:rPr>
              <w:t xml:space="preserve">The DSOC was established to review and provide guidance to the state’s domestic </w:t>
            </w:r>
            <w:r w:rsidRPr="004B68A0">
              <w:rPr>
                <w:rFonts w:ascii="Verdana" w:hAnsi="Verdana" w:cs="Arial"/>
                <w:sz w:val="20"/>
                <w:szCs w:val="20"/>
              </w:rPr>
              <w:lastRenderedPageBreak/>
              <w:t>security prevention, preparedness, and response activities. The council reviews the efforts of and provides guidance to the RDSTFs and formally approves and directs state adoption of the Homeland Security Strategy. An important function of Florida’s domestic security program is to identify those projects that require sustainment funding or are necessary to meet gaps in the state’s anti-terrorism preparedness structure. Projects are identified and vetted through a collaborative process that results in a recommended prioritized list given to the Legislature prior to the start of the annual Legislative Session. Funding for such projects is dependent on grants received annually from the federal Department of Homeland Security. DEM acts as the state administrative agency in submitting and managing the state’s Homeland Security grant applications and administering federal funds that are passed through to state, regional, and local entities as well as non-profit organizations.</w:t>
            </w:r>
          </w:p>
          <w:p w:rsidR="00690BB4" w:rsidRPr="009A10F2" w:rsidRDefault="004B28B9" w:rsidP="00037B45">
            <w:pPr>
              <w:autoSpaceDE w:val="0"/>
              <w:autoSpaceDN w:val="0"/>
              <w:adjustRightInd w:val="0"/>
              <w:spacing w:beforeLines="60" w:afterLines="60"/>
              <w:rPr>
                <w:rFonts w:ascii="Verdana" w:hAnsi="Verdana" w:cs="Arial"/>
                <w:sz w:val="20"/>
                <w:szCs w:val="20"/>
              </w:rPr>
            </w:pPr>
            <w:r>
              <w:rPr>
                <w:rFonts w:ascii="Verdana" w:hAnsi="Verdana" w:cs="Arial"/>
                <w:i/>
                <w:iCs/>
                <w:sz w:val="20"/>
                <w:szCs w:val="20"/>
              </w:rPr>
              <w:t>Funding Information:</w:t>
            </w:r>
          </w:p>
        </w:tc>
      </w:tr>
      <w:tr w:rsidR="00690BB4" w:rsidRPr="009A10F2" w:rsidTr="00690BB4">
        <w:trPr>
          <w:cantSplit/>
          <w:trHeight w:val="424"/>
        </w:trPr>
        <w:tc>
          <w:tcPr>
            <w:tcW w:w="314" w:type="pct"/>
          </w:tcPr>
          <w:p w:rsidR="00690BB4" w:rsidRPr="009A10F2" w:rsidRDefault="00690BB4" w:rsidP="00037B45">
            <w:pPr>
              <w:spacing w:beforeLines="60" w:afterLines="60"/>
              <w:rPr>
                <w:rFonts w:ascii="Verdana" w:hAnsi="Verdana" w:cs="Arial"/>
                <w:sz w:val="16"/>
                <w:szCs w:val="16"/>
              </w:rPr>
            </w:pPr>
          </w:p>
        </w:tc>
        <w:tc>
          <w:tcPr>
            <w:tcW w:w="380" w:type="pct"/>
          </w:tcPr>
          <w:p w:rsidR="00690BB4" w:rsidRPr="009A10F2" w:rsidRDefault="00690BB4" w:rsidP="00037B45">
            <w:pPr>
              <w:spacing w:beforeLines="60" w:afterLines="60"/>
              <w:rPr>
                <w:rFonts w:ascii="Verdana" w:hAnsi="Verdana" w:cs="Arial"/>
                <w:sz w:val="16"/>
                <w:szCs w:val="16"/>
              </w:rPr>
            </w:pPr>
            <w:r>
              <w:rPr>
                <w:rFonts w:ascii="Verdana" w:hAnsi="Verdana" w:cs="Arial"/>
                <w:sz w:val="16"/>
                <w:szCs w:val="16"/>
              </w:rPr>
              <w:t>Modify</w:t>
            </w:r>
          </w:p>
        </w:tc>
        <w:tc>
          <w:tcPr>
            <w:tcW w:w="4306" w:type="pct"/>
            <w:vMerge/>
          </w:tcPr>
          <w:p w:rsidR="00690BB4" w:rsidRPr="009A10F2" w:rsidRDefault="00690BB4" w:rsidP="00037B45">
            <w:pPr>
              <w:numPr>
                <w:ilvl w:val="0"/>
                <w:numId w:val="29"/>
              </w:numPr>
              <w:autoSpaceDE w:val="0"/>
              <w:autoSpaceDN w:val="0"/>
              <w:adjustRightInd w:val="0"/>
              <w:spacing w:beforeLines="60" w:afterLines="60"/>
              <w:rPr>
                <w:rFonts w:ascii="Verdana" w:hAnsi="Verdana" w:cs="Arial"/>
                <w:sz w:val="20"/>
                <w:szCs w:val="20"/>
              </w:rPr>
            </w:pPr>
          </w:p>
        </w:tc>
      </w:tr>
      <w:tr w:rsidR="00690BB4" w:rsidRPr="009A10F2" w:rsidTr="00690BB4">
        <w:trPr>
          <w:cantSplit/>
          <w:trHeight w:val="424"/>
        </w:trPr>
        <w:tc>
          <w:tcPr>
            <w:tcW w:w="314" w:type="pct"/>
          </w:tcPr>
          <w:p w:rsidR="00690BB4" w:rsidRPr="009A10F2" w:rsidRDefault="00690BB4" w:rsidP="00037B45">
            <w:pPr>
              <w:spacing w:beforeLines="60" w:afterLines="60"/>
              <w:rPr>
                <w:rFonts w:ascii="Verdana" w:hAnsi="Verdana" w:cs="Arial"/>
                <w:sz w:val="16"/>
                <w:szCs w:val="16"/>
              </w:rPr>
            </w:pPr>
          </w:p>
        </w:tc>
        <w:tc>
          <w:tcPr>
            <w:tcW w:w="380" w:type="pct"/>
          </w:tcPr>
          <w:p w:rsidR="00690BB4" w:rsidRPr="009A10F2" w:rsidRDefault="00690BB4" w:rsidP="00037B45">
            <w:pPr>
              <w:spacing w:beforeLines="60" w:afterLines="60"/>
              <w:rPr>
                <w:rFonts w:ascii="Verdana" w:hAnsi="Verdana" w:cs="Arial"/>
                <w:sz w:val="16"/>
                <w:szCs w:val="16"/>
              </w:rPr>
            </w:pPr>
            <w:r>
              <w:rPr>
                <w:rFonts w:ascii="Verdana" w:hAnsi="Verdana" w:cs="Arial"/>
                <w:sz w:val="16"/>
                <w:szCs w:val="16"/>
              </w:rPr>
              <w:t>Abolish</w:t>
            </w:r>
          </w:p>
        </w:tc>
        <w:tc>
          <w:tcPr>
            <w:tcW w:w="4306" w:type="pct"/>
            <w:vMerge/>
          </w:tcPr>
          <w:p w:rsidR="00690BB4" w:rsidRPr="009A10F2" w:rsidRDefault="00690BB4" w:rsidP="00037B45">
            <w:pPr>
              <w:numPr>
                <w:ilvl w:val="0"/>
                <w:numId w:val="29"/>
              </w:numPr>
              <w:autoSpaceDE w:val="0"/>
              <w:autoSpaceDN w:val="0"/>
              <w:adjustRightInd w:val="0"/>
              <w:spacing w:beforeLines="60" w:afterLines="60"/>
              <w:rPr>
                <w:rFonts w:ascii="Verdana" w:hAnsi="Verdana" w:cs="Arial"/>
                <w:sz w:val="20"/>
                <w:szCs w:val="20"/>
              </w:rPr>
            </w:pPr>
          </w:p>
        </w:tc>
      </w:tr>
      <w:tr w:rsidR="00690BB4" w:rsidRPr="009A10F2" w:rsidTr="00690BB4">
        <w:trPr>
          <w:cantSplit/>
          <w:trHeight w:val="260"/>
        </w:trPr>
        <w:tc>
          <w:tcPr>
            <w:tcW w:w="314" w:type="pct"/>
          </w:tcPr>
          <w:p w:rsidR="00690BB4" w:rsidRPr="009A10F2" w:rsidRDefault="00690BB4" w:rsidP="00037B45">
            <w:pPr>
              <w:spacing w:beforeLines="60" w:afterLines="60"/>
              <w:jc w:val="center"/>
              <w:rPr>
                <w:rFonts w:ascii="Verdana" w:hAnsi="Verdana" w:cs="Arial"/>
                <w:sz w:val="16"/>
                <w:szCs w:val="16"/>
              </w:rPr>
            </w:pPr>
          </w:p>
        </w:tc>
        <w:tc>
          <w:tcPr>
            <w:tcW w:w="380" w:type="pct"/>
          </w:tcPr>
          <w:p w:rsidR="00690BB4" w:rsidRPr="009A10F2" w:rsidRDefault="00690BB4" w:rsidP="00037B45">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690BB4" w:rsidRDefault="00690BB4" w:rsidP="00037B45">
            <w:pPr>
              <w:autoSpaceDE w:val="0"/>
              <w:autoSpaceDN w:val="0"/>
              <w:adjustRightInd w:val="0"/>
              <w:spacing w:beforeLines="60" w:afterLines="60"/>
              <w:rPr>
                <w:rFonts w:ascii="Verdana" w:hAnsi="Verdana" w:cs="Arial"/>
                <w:sz w:val="20"/>
                <w:szCs w:val="20"/>
              </w:rPr>
            </w:pPr>
            <w:r w:rsidRPr="00635614">
              <w:rPr>
                <w:rFonts w:ascii="Verdana" w:hAnsi="Verdana" w:cs="Arial"/>
                <w:b/>
                <w:bCs/>
                <w:sz w:val="20"/>
                <w:szCs w:val="20"/>
              </w:rPr>
              <w:t xml:space="preserve">Florida Citizen Corps Program </w:t>
            </w:r>
            <w:r w:rsidRPr="00635614">
              <w:rPr>
                <w:rFonts w:ascii="Verdana" w:hAnsi="Verdana" w:cs="Arial"/>
                <w:sz w:val="20"/>
                <w:szCs w:val="20"/>
              </w:rPr>
              <w:t>- The Florida Citizen Corps Program is designed to help communities be better prepared to respond to any kind of disaster. Citizen Corps members are community volunteers who receive first aid and emergency skills training. They become members of Community Emergency Response Teams (CERT) which provide support and disaster relief assistance to local professional emergency responders during a disaster. DEM administers this program which is funded through Homeland Security Grant funds.</w:t>
            </w:r>
          </w:p>
          <w:p w:rsidR="00690BB4" w:rsidRPr="009A10F2" w:rsidRDefault="004B28B9" w:rsidP="00037B45">
            <w:pPr>
              <w:autoSpaceDE w:val="0"/>
              <w:autoSpaceDN w:val="0"/>
              <w:adjustRightInd w:val="0"/>
              <w:spacing w:beforeLines="60" w:afterLines="60"/>
              <w:rPr>
                <w:rFonts w:ascii="Verdana" w:hAnsi="Verdana" w:cs="Arial"/>
                <w:sz w:val="20"/>
                <w:szCs w:val="20"/>
              </w:rPr>
            </w:pPr>
            <w:r>
              <w:rPr>
                <w:rFonts w:ascii="Verdana" w:hAnsi="Verdana" w:cs="Arial"/>
                <w:i/>
                <w:iCs/>
                <w:sz w:val="20"/>
                <w:szCs w:val="20"/>
              </w:rPr>
              <w:t>Funding Information:</w:t>
            </w:r>
          </w:p>
        </w:tc>
      </w:tr>
      <w:tr w:rsidR="00690BB4" w:rsidRPr="009A10F2" w:rsidTr="00690BB4">
        <w:trPr>
          <w:cantSplit/>
          <w:trHeight w:val="260"/>
        </w:trPr>
        <w:tc>
          <w:tcPr>
            <w:tcW w:w="314" w:type="pct"/>
          </w:tcPr>
          <w:p w:rsidR="00690BB4" w:rsidRPr="009A10F2" w:rsidRDefault="00690BB4" w:rsidP="00037B45">
            <w:pPr>
              <w:spacing w:beforeLines="60" w:afterLines="60"/>
              <w:rPr>
                <w:rFonts w:ascii="Verdana" w:hAnsi="Verdana" w:cs="Arial"/>
                <w:sz w:val="16"/>
                <w:szCs w:val="16"/>
              </w:rPr>
            </w:pPr>
          </w:p>
        </w:tc>
        <w:tc>
          <w:tcPr>
            <w:tcW w:w="380" w:type="pct"/>
          </w:tcPr>
          <w:p w:rsidR="00690BB4" w:rsidRPr="009A10F2" w:rsidRDefault="00690BB4" w:rsidP="00037B45">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690BB4" w:rsidRPr="009A10F2" w:rsidRDefault="00690BB4" w:rsidP="00037B45">
            <w:pPr>
              <w:autoSpaceDE w:val="0"/>
              <w:autoSpaceDN w:val="0"/>
              <w:adjustRightInd w:val="0"/>
              <w:spacing w:beforeLines="60" w:afterLines="60"/>
              <w:rPr>
                <w:rFonts w:ascii="Verdana" w:hAnsi="Verdana" w:cs="Arial"/>
                <w:sz w:val="20"/>
                <w:szCs w:val="20"/>
              </w:rPr>
            </w:pPr>
          </w:p>
        </w:tc>
      </w:tr>
      <w:tr w:rsidR="00690BB4" w:rsidRPr="009A10F2" w:rsidTr="00690BB4">
        <w:trPr>
          <w:cantSplit/>
          <w:trHeight w:val="260"/>
        </w:trPr>
        <w:tc>
          <w:tcPr>
            <w:tcW w:w="314" w:type="pct"/>
          </w:tcPr>
          <w:p w:rsidR="00690BB4" w:rsidRPr="009A10F2" w:rsidRDefault="00690BB4" w:rsidP="00037B45">
            <w:pPr>
              <w:spacing w:beforeLines="60" w:afterLines="60"/>
              <w:rPr>
                <w:rFonts w:ascii="Verdana" w:hAnsi="Verdana" w:cs="Arial"/>
                <w:sz w:val="16"/>
                <w:szCs w:val="16"/>
              </w:rPr>
            </w:pPr>
          </w:p>
        </w:tc>
        <w:tc>
          <w:tcPr>
            <w:tcW w:w="380" w:type="pct"/>
          </w:tcPr>
          <w:p w:rsidR="00690BB4" w:rsidRPr="009A10F2" w:rsidRDefault="00690BB4" w:rsidP="00037B45">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690BB4" w:rsidRPr="009A10F2" w:rsidRDefault="00690BB4" w:rsidP="00037B45">
            <w:pPr>
              <w:autoSpaceDE w:val="0"/>
              <w:autoSpaceDN w:val="0"/>
              <w:adjustRightInd w:val="0"/>
              <w:spacing w:beforeLines="60" w:afterLines="60"/>
              <w:rPr>
                <w:rFonts w:ascii="Verdana" w:hAnsi="Verdana" w:cs="Arial"/>
                <w:sz w:val="20"/>
                <w:szCs w:val="20"/>
              </w:rPr>
            </w:pPr>
          </w:p>
        </w:tc>
      </w:tr>
      <w:tr w:rsidR="00690BB4" w:rsidRPr="009A10F2" w:rsidTr="00690BB4">
        <w:trPr>
          <w:cantSplit/>
          <w:trHeight w:val="260"/>
        </w:trPr>
        <w:tc>
          <w:tcPr>
            <w:tcW w:w="314" w:type="pct"/>
          </w:tcPr>
          <w:p w:rsidR="00690BB4" w:rsidRPr="009A10F2" w:rsidRDefault="00690BB4" w:rsidP="00037B45">
            <w:pPr>
              <w:spacing w:beforeLines="60" w:afterLines="60"/>
              <w:jc w:val="center"/>
              <w:rPr>
                <w:rFonts w:ascii="Verdana" w:hAnsi="Verdana" w:cs="Arial"/>
                <w:sz w:val="16"/>
                <w:szCs w:val="16"/>
              </w:rPr>
            </w:pPr>
          </w:p>
        </w:tc>
        <w:tc>
          <w:tcPr>
            <w:tcW w:w="380" w:type="pct"/>
          </w:tcPr>
          <w:p w:rsidR="00690BB4" w:rsidRPr="009A10F2" w:rsidRDefault="00690BB4" w:rsidP="00037B45">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690BB4" w:rsidRDefault="00690BB4" w:rsidP="00037B45">
            <w:pPr>
              <w:autoSpaceDE w:val="0"/>
              <w:autoSpaceDN w:val="0"/>
              <w:adjustRightInd w:val="0"/>
              <w:spacing w:beforeLines="60" w:afterLines="60"/>
              <w:rPr>
                <w:rFonts w:ascii="Verdana" w:hAnsi="Verdana" w:cs="Arial"/>
                <w:sz w:val="20"/>
                <w:szCs w:val="20"/>
              </w:rPr>
            </w:pPr>
            <w:r w:rsidRPr="00635614">
              <w:rPr>
                <w:rFonts w:ascii="Verdana" w:hAnsi="Verdana" w:cs="Arial"/>
                <w:b/>
                <w:bCs/>
                <w:sz w:val="20"/>
                <w:szCs w:val="20"/>
              </w:rPr>
              <w:t xml:space="preserve">Hurricane Shelter Survey and Retrofit Program </w:t>
            </w:r>
            <w:r w:rsidRPr="00635614">
              <w:rPr>
                <w:rFonts w:ascii="Verdana" w:hAnsi="Verdana" w:cs="Arial"/>
                <w:sz w:val="20"/>
                <w:szCs w:val="20"/>
              </w:rPr>
              <w:t xml:space="preserve">- This program is designed to eliminate the statewide hurricane evacuation shelter deficit. DEM has been directed by statute since 1993 to address the statewide deficit of safe public hurricane shelter space. In response, DEM has established a multi-faceted strategy which includes survey of existing and new facilities to identify those that are appropriately designed and located to serve as public shelters, providing guidance on enhanced hurricane protection construction techniques, and recommending retrofits to existing public shelters to improve their ability to house evacuees. </w:t>
            </w:r>
          </w:p>
          <w:p w:rsidR="00690BB4" w:rsidRPr="009A10F2" w:rsidRDefault="004B28B9" w:rsidP="00037B45">
            <w:pPr>
              <w:autoSpaceDE w:val="0"/>
              <w:autoSpaceDN w:val="0"/>
              <w:adjustRightInd w:val="0"/>
              <w:spacing w:beforeLines="60" w:afterLines="60"/>
              <w:rPr>
                <w:rFonts w:ascii="Verdana" w:hAnsi="Verdana" w:cs="Arial"/>
                <w:sz w:val="20"/>
                <w:szCs w:val="20"/>
              </w:rPr>
            </w:pPr>
            <w:r>
              <w:rPr>
                <w:rFonts w:ascii="Verdana" w:hAnsi="Verdana" w:cs="Arial"/>
                <w:i/>
                <w:iCs/>
                <w:sz w:val="20"/>
                <w:szCs w:val="20"/>
              </w:rPr>
              <w:t>Funding Information:</w:t>
            </w:r>
          </w:p>
        </w:tc>
      </w:tr>
      <w:tr w:rsidR="00690BB4" w:rsidRPr="009A10F2" w:rsidTr="00690BB4">
        <w:trPr>
          <w:cantSplit/>
          <w:trHeight w:val="260"/>
        </w:trPr>
        <w:tc>
          <w:tcPr>
            <w:tcW w:w="314" w:type="pct"/>
          </w:tcPr>
          <w:p w:rsidR="00690BB4" w:rsidRPr="009A10F2" w:rsidRDefault="00690BB4" w:rsidP="00037B45">
            <w:pPr>
              <w:spacing w:beforeLines="60" w:afterLines="60"/>
              <w:jc w:val="center"/>
              <w:rPr>
                <w:rFonts w:ascii="Verdana" w:hAnsi="Verdana" w:cs="Arial"/>
                <w:sz w:val="16"/>
                <w:szCs w:val="16"/>
              </w:rPr>
            </w:pPr>
          </w:p>
        </w:tc>
        <w:tc>
          <w:tcPr>
            <w:tcW w:w="380" w:type="pct"/>
          </w:tcPr>
          <w:p w:rsidR="00690BB4" w:rsidRPr="009A10F2" w:rsidRDefault="00690BB4" w:rsidP="00037B45">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690BB4" w:rsidRPr="009A10F2" w:rsidRDefault="00690BB4" w:rsidP="00037B45">
            <w:pPr>
              <w:autoSpaceDE w:val="0"/>
              <w:autoSpaceDN w:val="0"/>
              <w:adjustRightInd w:val="0"/>
              <w:spacing w:beforeLines="60" w:afterLines="60"/>
              <w:rPr>
                <w:rFonts w:ascii="Verdana" w:hAnsi="Verdana" w:cs="Arial"/>
                <w:sz w:val="20"/>
                <w:szCs w:val="20"/>
              </w:rPr>
            </w:pPr>
          </w:p>
        </w:tc>
      </w:tr>
      <w:tr w:rsidR="00A92B26" w:rsidRPr="009A10F2" w:rsidTr="008678C5">
        <w:trPr>
          <w:cantSplit/>
        </w:trPr>
        <w:tc>
          <w:tcPr>
            <w:tcW w:w="5000" w:type="pct"/>
            <w:gridSpan w:val="3"/>
            <w:shd w:val="pct10" w:color="auto" w:fill="auto"/>
          </w:tcPr>
          <w:p w:rsidR="00A92B26" w:rsidRPr="00635614" w:rsidRDefault="00A92B26" w:rsidP="00037B45">
            <w:pPr>
              <w:spacing w:beforeLines="60" w:afterLines="60"/>
              <w:ind w:left="720"/>
              <w:rPr>
                <w:rFonts w:ascii="Verdana" w:hAnsi="Verdana" w:cs="Arial"/>
                <w:sz w:val="20"/>
                <w:szCs w:val="20"/>
              </w:rPr>
            </w:pPr>
            <w:r>
              <w:rPr>
                <w:rFonts w:ascii="Verdana" w:hAnsi="Verdana"/>
                <w:b/>
                <w:bCs/>
                <w:i/>
                <w:iCs/>
                <w:sz w:val="20"/>
                <w:szCs w:val="20"/>
              </w:rPr>
              <w:t>Recovery</w:t>
            </w:r>
          </w:p>
        </w:tc>
      </w:tr>
      <w:tr w:rsidR="00690BB4" w:rsidRPr="009A10F2" w:rsidTr="00690BB4">
        <w:trPr>
          <w:cantSplit/>
          <w:trHeight w:val="450"/>
        </w:trPr>
        <w:tc>
          <w:tcPr>
            <w:tcW w:w="314" w:type="pct"/>
          </w:tcPr>
          <w:p w:rsidR="00690BB4" w:rsidRPr="009A10F2" w:rsidRDefault="00690BB4" w:rsidP="00037B45">
            <w:pPr>
              <w:spacing w:beforeLines="60" w:afterLines="60"/>
              <w:jc w:val="center"/>
              <w:rPr>
                <w:rFonts w:ascii="Verdana" w:hAnsi="Verdana" w:cs="Arial"/>
                <w:sz w:val="16"/>
                <w:szCs w:val="16"/>
              </w:rPr>
            </w:pPr>
          </w:p>
        </w:tc>
        <w:tc>
          <w:tcPr>
            <w:tcW w:w="380" w:type="pct"/>
          </w:tcPr>
          <w:p w:rsidR="00690BB4" w:rsidRPr="009A10F2" w:rsidRDefault="00690BB4" w:rsidP="00037B45">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4B28B9" w:rsidRDefault="00690BB4" w:rsidP="00037B45">
            <w:pPr>
              <w:spacing w:beforeLines="60" w:afterLines="60"/>
              <w:rPr>
                <w:rFonts w:ascii="Verdana" w:hAnsi="Verdana" w:cs="Arial"/>
                <w:sz w:val="20"/>
                <w:szCs w:val="20"/>
              </w:rPr>
            </w:pPr>
            <w:r w:rsidRPr="00820AB1">
              <w:rPr>
                <w:rFonts w:ascii="Verdana" w:hAnsi="Verdana" w:cs="Arial"/>
                <w:b/>
                <w:bCs/>
                <w:sz w:val="20"/>
                <w:szCs w:val="20"/>
              </w:rPr>
              <w:t xml:space="preserve">Disaster Reservist Program </w:t>
            </w:r>
            <w:r w:rsidRPr="00820AB1">
              <w:rPr>
                <w:rFonts w:ascii="Verdana" w:hAnsi="Verdana" w:cs="Arial"/>
                <w:sz w:val="20"/>
                <w:szCs w:val="20"/>
              </w:rPr>
              <w:t xml:space="preserve">- </w:t>
            </w:r>
            <w:r>
              <w:rPr>
                <w:rFonts w:ascii="Verdana" w:hAnsi="Verdana" w:cs="Arial"/>
                <w:sz w:val="20"/>
                <w:szCs w:val="20"/>
              </w:rPr>
              <w:t>T</w:t>
            </w:r>
            <w:r w:rsidRPr="00820AB1">
              <w:rPr>
                <w:rFonts w:ascii="Verdana" w:hAnsi="Verdana" w:cs="Arial"/>
                <w:sz w:val="20"/>
                <w:szCs w:val="20"/>
              </w:rPr>
              <w:t>he division has established a program to train a cadre of disaster reservists in order to quickly augment its staff when needed. Disaster reservists are required to complete a basic series of FEMA disaster assistance courses and DEM training. After completing training, reservists must submit a State of Florida Employment Application and if accepted have the ability, if activated, to deploy to any designated location.</w:t>
            </w:r>
            <w:r>
              <w:rPr>
                <w:rFonts w:ascii="Verdana" w:hAnsi="Verdana" w:cs="Arial"/>
                <w:sz w:val="20"/>
                <w:szCs w:val="20"/>
              </w:rPr>
              <w:t xml:space="preserve"> </w:t>
            </w:r>
          </w:p>
          <w:p w:rsidR="00690BB4" w:rsidRPr="009A10F2" w:rsidRDefault="004B28B9" w:rsidP="00037B45">
            <w:pPr>
              <w:spacing w:beforeLines="60" w:afterLines="60"/>
              <w:rPr>
                <w:rFonts w:ascii="Verdana" w:hAnsi="Verdana" w:cs="Arial"/>
                <w:sz w:val="20"/>
                <w:szCs w:val="20"/>
              </w:rPr>
            </w:pPr>
            <w:r>
              <w:rPr>
                <w:rFonts w:ascii="Verdana" w:hAnsi="Verdana" w:cs="Arial"/>
                <w:i/>
                <w:iCs/>
                <w:sz w:val="20"/>
                <w:szCs w:val="20"/>
              </w:rPr>
              <w:t xml:space="preserve">Funding Information:  </w:t>
            </w:r>
            <w:r w:rsidR="00690BB4" w:rsidRPr="00820AB1">
              <w:rPr>
                <w:rFonts w:ascii="Verdana" w:hAnsi="Verdana" w:cs="Arial"/>
                <w:sz w:val="20"/>
                <w:szCs w:val="20"/>
              </w:rPr>
              <w:t>When activated, each reservist costs approximately $2,335 per week in salary and living expenses. Federally eligible response and recovery costs are reimbursed at a minimum of 75/25 percent federal/non-federal cost share. The needs of each disaster dictate the number of reservists activated. Reservists agree to serve for a period of at least 30 days and may work on average 60 hours per week during the crisis period</w:t>
            </w:r>
          </w:p>
        </w:tc>
      </w:tr>
      <w:tr w:rsidR="00690BB4" w:rsidRPr="009A10F2" w:rsidTr="00690BB4">
        <w:trPr>
          <w:cantSplit/>
          <w:trHeight w:val="450"/>
        </w:trPr>
        <w:tc>
          <w:tcPr>
            <w:tcW w:w="314" w:type="pct"/>
          </w:tcPr>
          <w:p w:rsidR="00690BB4" w:rsidRPr="009A10F2" w:rsidRDefault="00690BB4" w:rsidP="00037B45">
            <w:pPr>
              <w:spacing w:beforeLines="60" w:afterLines="60"/>
              <w:rPr>
                <w:rFonts w:ascii="Verdana" w:hAnsi="Verdana" w:cs="Arial"/>
                <w:sz w:val="16"/>
                <w:szCs w:val="16"/>
              </w:rPr>
            </w:pPr>
          </w:p>
        </w:tc>
        <w:tc>
          <w:tcPr>
            <w:tcW w:w="380" w:type="pct"/>
          </w:tcPr>
          <w:p w:rsidR="00690BB4" w:rsidRPr="009A10F2" w:rsidRDefault="00690BB4" w:rsidP="00037B45">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690BB4" w:rsidRPr="009A10F2" w:rsidRDefault="00690BB4" w:rsidP="00037B45">
            <w:pPr>
              <w:spacing w:beforeLines="60" w:afterLines="60"/>
              <w:rPr>
                <w:rFonts w:ascii="Verdana" w:hAnsi="Verdana" w:cs="Arial"/>
                <w:sz w:val="20"/>
                <w:szCs w:val="20"/>
              </w:rPr>
            </w:pPr>
          </w:p>
        </w:tc>
      </w:tr>
      <w:tr w:rsidR="00690BB4" w:rsidRPr="009A10F2" w:rsidTr="00690BB4">
        <w:trPr>
          <w:cantSplit/>
          <w:trHeight w:val="450"/>
        </w:trPr>
        <w:tc>
          <w:tcPr>
            <w:tcW w:w="314" w:type="pct"/>
          </w:tcPr>
          <w:p w:rsidR="00690BB4" w:rsidRPr="009A10F2" w:rsidRDefault="00690BB4" w:rsidP="00037B45">
            <w:pPr>
              <w:spacing w:beforeLines="60" w:afterLines="60"/>
              <w:rPr>
                <w:rFonts w:ascii="Verdana" w:hAnsi="Verdana" w:cs="Arial"/>
                <w:sz w:val="16"/>
                <w:szCs w:val="16"/>
              </w:rPr>
            </w:pPr>
          </w:p>
        </w:tc>
        <w:tc>
          <w:tcPr>
            <w:tcW w:w="380" w:type="pct"/>
          </w:tcPr>
          <w:p w:rsidR="00690BB4" w:rsidRPr="009A10F2" w:rsidRDefault="00690BB4" w:rsidP="00037B45">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690BB4" w:rsidRPr="009A10F2" w:rsidRDefault="00690BB4" w:rsidP="00037B45">
            <w:pPr>
              <w:spacing w:beforeLines="60" w:afterLines="60"/>
              <w:rPr>
                <w:rFonts w:ascii="Verdana" w:hAnsi="Verdana" w:cs="Arial"/>
                <w:sz w:val="20"/>
                <w:szCs w:val="20"/>
              </w:rPr>
            </w:pPr>
          </w:p>
        </w:tc>
      </w:tr>
      <w:tr w:rsidR="00690BB4" w:rsidRPr="009A10F2" w:rsidTr="00690BB4">
        <w:trPr>
          <w:cantSplit/>
          <w:trHeight w:val="450"/>
        </w:trPr>
        <w:tc>
          <w:tcPr>
            <w:tcW w:w="314" w:type="pct"/>
          </w:tcPr>
          <w:p w:rsidR="00690BB4" w:rsidRPr="009A10F2" w:rsidRDefault="00690BB4" w:rsidP="00037B45">
            <w:pPr>
              <w:spacing w:beforeLines="60" w:afterLines="60"/>
              <w:jc w:val="center"/>
              <w:rPr>
                <w:rFonts w:ascii="Verdana" w:hAnsi="Verdana" w:cs="Arial"/>
                <w:sz w:val="16"/>
                <w:szCs w:val="16"/>
              </w:rPr>
            </w:pPr>
          </w:p>
        </w:tc>
        <w:tc>
          <w:tcPr>
            <w:tcW w:w="380" w:type="pct"/>
          </w:tcPr>
          <w:p w:rsidR="00690BB4" w:rsidRPr="009A10F2" w:rsidRDefault="00690BB4" w:rsidP="00037B45">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690BB4" w:rsidRDefault="00690BB4" w:rsidP="00037B45">
            <w:pPr>
              <w:spacing w:beforeLines="60" w:afterLines="60"/>
              <w:rPr>
                <w:rFonts w:ascii="Verdana" w:hAnsi="Verdana" w:cs="Arial"/>
                <w:sz w:val="20"/>
                <w:szCs w:val="20"/>
              </w:rPr>
            </w:pPr>
            <w:r w:rsidRPr="00820AB1">
              <w:rPr>
                <w:rFonts w:ascii="Verdana" w:hAnsi="Verdana" w:cs="Arial"/>
                <w:b/>
                <w:bCs/>
                <w:sz w:val="20"/>
                <w:szCs w:val="20"/>
              </w:rPr>
              <w:t xml:space="preserve">Fire Management Assistance Grant Program (FMAG) </w:t>
            </w:r>
            <w:r w:rsidRPr="00820AB1">
              <w:rPr>
                <w:rFonts w:ascii="Verdana" w:hAnsi="Verdana" w:cs="Arial"/>
                <w:sz w:val="20"/>
                <w:szCs w:val="20"/>
              </w:rPr>
              <w:t xml:space="preserve">- The Fire Management Assistance Grant Program provides </w:t>
            </w:r>
            <w:r w:rsidRPr="00820AB1">
              <w:rPr>
                <w:rFonts w:ascii="Verdana" w:hAnsi="Verdana" w:cs="Arial"/>
                <w:sz w:val="20"/>
                <w:szCs w:val="20"/>
              </w:rPr>
              <w:lastRenderedPageBreak/>
              <w:t>federal assistance to cover the costs of fighting an uncontrolled fire or complex of fires which constitute a threat of disaster to public safety and/or improved property. FEMA issues a Fire Declaration upon approval of a state’s request for federal assistance. DEM acts as the state administrative agency for the State and for local government agencies seeking FEMA/State Fire Management Assistance for eligible costs. In order to receive assistance, total costs must exceed a cost threshold</w:t>
            </w:r>
            <w:r>
              <w:rPr>
                <w:rFonts w:ascii="Verdana" w:hAnsi="Verdana" w:cs="Arial"/>
                <w:sz w:val="20"/>
                <w:szCs w:val="20"/>
              </w:rPr>
              <w:t>.</w:t>
            </w:r>
          </w:p>
          <w:p w:rsidR="00690BB4" w:rsidRPr="009A10F2" w:rsidRDefault="004B28B9" w:rsidP="00037B45">
            <w:pPr>
              <w:spacing w:beforeLines="60" w:afterLines="60"/>
              <w:rPr>
                <w:rFonts w:ascii="Verdana" w:hAnsi="Verdana" w:cs="Arial"/>
                <w:sz w:val="20"/>
                <w:szCs w:val="20"/>
              </w:rPr>
            </w:pPr>
            <w:r>
              <w:rPr>
                <w:rFonts w:ascii="Verdana" w:hAnsi="Verdana" w:cs="Arial"/>
                <w:i/>
                <w:iCs/>
                <w:sz w:val="20"/>
                <w:szCs w:val="20"/>
              </w:rPr>
              <w:t>Funding Information:</w:t>
            </w:r>
          </w:p>
        </w:tc>
      </w:tr>
      <w:tr w:rsidR="00690BB4" w:rsidRPr="009A10F2" w:rsidTr="00690BB4">
        <w:trPr>
          <w:cantSplit/>
          <w:trHeight w:val="450"/>
        </w:trPr>
        <w:tc>
          <w:tcPr>
            <w:tcW w:w="314" w:type="pct"/>
          </w:tcPr>
          <w:p w:rsidR="00690BB4" w:rsidRPr="009A10F2" w:rsidRDefault="00690BB4" w:rsidP="00037B45">
            <w:pPr>
              <w:spacing w:beforeLines="60" w:afterLines="60"/>
              <w:rPr>
                <w:rFonts w:ascii="Verdana" w:hAnsi="Verdana" w:cs="Arial"/>
                <w:sz w:val="16"/>
                <w:szCs w:val="16"/>
              </w:rPr>
            </w:pPr>
          </w:p>
        </w:tc>
        <w:tc>
          <w:tcPr>
            <w:tcW w:w="380" w:type="pct"/>
          </w:tcPr>
          <w:p w:rsidR="00690BB4" w:rsidRPr="009A10F2" w:rsidRDefault="00690BB4" w:rsidP="00037B45">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690BB4" w:rsidRPr="009A10F2" w:rsidRDefault="00690BB4" w:rsidP="00037B45">
            <w:pPr>
              <w:spacing w:beforeLines="60" w:afterLines="60"/>
              <w:rPr>
                <w:rFonts w:ascii="Verdana" w:hAnsi="Verdana" w:cs="Arial"/>
                <w:sz w:val="20"/>
                <w:szCs w:val="20"/>
              </w:rPr>
            </w:pPr>
          </w:p>
        </w:tc>
      </w:tr>
      <w:tr w:rsidR="00690BB4" w:rsidRPr="009A10F2" w:rsidTr="00690BB4">
        <w:trPr>
          <w:cantSplit/>
          <w:trHeight w:val="450"/>
        </w:trPr>
        <w:tc>
          <w:tcPr>
            <w:tcW w:w="314" w:type="pct"/>
          </w:tcPr>
          <w:p w:rsidR="00690BB4" w:rsidRPr="009A10F2" w:rsidRDefault="00690BB4" w:rsidP="00037B45">
            <w:pPr>
              <w:spacing w:beforeLines="60" w:afterLines="60"/>
              <w:rPr>
                <w:rFonts w:ascii="Verdana" w:hAnsi="Verdana" w:cs="Arial"/>
                <w:sz w:val="16"/>
                <w:szCs w:val="16"/>
              </w:rPr>
            </w:pPr>
          </w:p>
        </w:tc>
        <w:tc>
          <w:tcPr>
            <w:tcW w:w="380" w:type="pct"/>
          </w:tcPr>
          <w:p w:rsidR="00690BB4" w:rsidRPr="009A10F2" w:rsidRDefault="00690BB4" w:rsidP="00037B45">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690BB4" w:rsidRPr="009A10F2" w:rsidRDefault="00690BB4" w:rsidP="00037B45">
            <w:pPr>
              <w:spacing w:beforeLines="60" w:afterLines="60"/>
              <w:rPr>
                <w:rFonts w:ascii="Verdana" w:hAnsi="Verdana" w:cs="Arial"/>
                <w:sz w:val="20"/>
                <w:szCs w:val="20"/>
              </w:rPr>
            </w:pPr>
          </w:p>
        </w:tc>
      </w:tr>
      <w:tr w:rsidR="00690BB4" w:rsidRPr="009A10F2" w:rsidTr="00690BB4">
        <w:trPr>
          <w:cantSplit/>
          <w:trHeight w:val="375"/>
        </w:trPr>
        <w:tc>
          <w:tcPr>
            <w:tcW w:w="314" w:type="pct"/>
          </w:tcPr>
          <w:p w:rsidR="00690BB4" w:rsidRPr="009A10F2" w:rsidRDefault="00690BB4" w:rsidP="00037B45">
            <w:pPr>
              <w:spacing w:beforeLines="60" w:afterLines="60"/>
              <w:jc w:val="center"/>
              <w:rPr>
                <w:rFonts w:ascii="Verdana" w:hAnsi="Verdana" w:cs="Arial"/>
                <w:sz w:val="16"/>
                <w:szCs w:val="16"/>
              </w:rPr>
            </w:pPr>
          </w:p>
        </w:tc>
        <w:tc>
          <w:tcPr>
            <w:tcW w:w="380" w:type="pct"/>
          </w:tcPr>
          <w:p w:rsidR="00690BB4" w:rsidRPr="009A10F2" w:rsidRDefault="00690BB4" w:rsidP="00037B45">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4B28B9" w:rsidRDefault="00690BB4" w:rsidP="00037B45">
            <w:pPr>
              <w:spacing w:beforeLines="60" w:afterLines="60"/>
              <w:rPr>
                <w:rFonts w:ascii="Verdana" w:hAnsi="Verdana" w:cs="Arial"/>
                <w:sz w:val="20"/>
                <w:szCs w:val="20"/>
              </w:rPr>
            </w:pPr>
            <w:r w:rsidRPr="00820AB1">
              <w:rPr>
                <w:rFonts w:ascii="Verdana" w:hAnsi="Verdana" w:cs="Arial"/>
                <w:b/>
                <w:bCs/>
                <w:sz w:val="20"/>
                <w:szCs w:val="20"/>
              </w:rPr>
              <w:t xml:space="preserve">Individual Assistance Program (IA) </w:t>
            </w:r>
            <w:r w:rsidRPr="00820AB1">
              <w:rPr>
                <w:rFonts w:ascii="Verdana" w:hAnsi="Verdana" w:cs="Arial"/>
                <w:sz w:val="20"/>
                <w:szCs w:val="20"/>
              </w:rPr>
              <w:t xml:space="preserve">- Once the President has signed a disaster declaration, persons whose residences have been damaged due to the disaster may qualify for various forms of federal disaster assistance. This assistance may come in many forms including direct grants, low-interest loans, use of a travel trailer or mobile home as a temporary residence, temporary housing in rental properties or hotels/motels, etc. DEM coordinates with FEMA in order to assist the agency in establishing a local Individual Assistance infrastructure including setting up Disaster Recovery Centers, assists in the effort to ensure individuals are aware of the procedures for applying for IA, facilitates the movement of various FEMA personnel such as property inspectors into the disaster area, and performs any other duty that may assist individuals in applying for federal disaster benefits. DEM provides two full-time staff members to coordinate necessary community outreach during a disaster and to activate Disaster Recovery Centers to assist victims in applying for benefits and assistance. </w:t>
            </w:r>
          </w:p>
          <w:p w:rsidR="00690BB4" w:rsidRPr="009A10F2" w:rsidRDefault="004B28B9" w:rsidP="00037B45">
            <w:pPr>
              <w:spacing w:beforeLines="60" w:afterLines="60"/>
              <w:rPr>
                <w:rFonts w:ascii="Verdana" w:hAnsi="Verdana" w:cs="Arial"/>
                <w:sz w:val="20"/>
                <w:szCs w:val="20"/>
              </w:rPr>
            </w:pPr>
            <w:r>
              <w:rPr>
                <w:rFonts w:ascii="Verdana" w:hAnsi="Verdana" w:cs="Arial"/>
                <w:i/>
                <w:iCs/>
                <w:sz w:val="20"/>
                <w:szCs w:val="20"/>
              </w:rPr>
              <w:t xml:space="preserve">Funding Information: </w:t>
            </w:r>
            <w:r w:rsidR="00690BB4" w:rsidRPr="00820AB1">
              <w:rPr>
                <w:rFonts w:ascii="Verdana" w:hAnsi="Verdana" w:cs="Arial"/>
                <w:sz w:val="20"/>
                <w:szCs w:val="20"/>
              </w:rPr>
              <w:t>These positions are state funded at a cost of $100,620 for salary and benefits and assigned an additional $38,709 in assessed indirect costs assessed on all salaries and benefits.</w:t>
            </w:r>
          </w:p>
        </w:tc>
      </w:tr>
      <w:tr w:rsidR="00690BB4" w:rsidRPr="009A10F2" w:rsidTr="00690BB4">
        <w:trPr>
          <w:cantSplit/>
          <w:trHeight w:val="375"/>
        </w:trPr>
        <w:tc>
          <w:tcPr>
            <w:tcW w:w="314" w:type="pct"/>
          </w:tcPr>
          <w:p w:rsidR="00690BB4" w:rsidRPr="009A10F2" w:rsidRDefault="00690BB4" w:rsidP="00037B45">
            <w:pPr>
              <w:spacing w:beforeLines="60" w:afterLines="60"/>
              <w:rPr>
                <w:rFonts w:ascii="Verdana" w:hAnsi="Verdana" w:cs="Arial"/>
                <w:sz w:val="16"/>
                <w:szCs w:val="16"/>
              </w:rPr>
            </w:pPr>
          </w:p>
        </w:tc>
        <w:tc>
          <w:tcPr>
            <w:tcW w:w="380" w:type="pct"/>
          </w:tcPr>
          <w:p w:rsidR="00690BB4" w:rsidRPr="009A10F2" w:rsidRDefault="00690BB4" w:rsidP="00037B45">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690BB4" w:rsidRPr="009A10F2" w:rsidRDefault="00690BB4" w:rsidP="00037B45">
            <w:pPr>
              <w:spacing w:beforeLines="60" w:afterLines="60"/>
              <w:rPr>
                <w:rFonts w:ascii="Verdana" w:hAnsi="Verdana" w:cs="Arial"/>
                <w:sz w:val="20"/>
                <w:szCs w:val="20"/>
              </w:rPr>
            </w:pPr>
          </w:p>
        </w:tc>
      </w:tr>
      <w:tr w:rsidR="00690BB4" w:rsidRPr="009A10F2" w:rsidTr="00690BB4">
        <w:trPr>
          <w:cantSplit/>
          <w:trHeight w:val="375"/>
        </w:trPr>
        <w:tc>
          <w:tcPr>
            <w:tcW w:w="314" w:type="pct"/>
          </w:tcPr>
          <w:p w:rsidR="00690BB4" w:rsidRPr="009A10F2" w:rsidRDefault="00690BB4" w:rsidP="00037B45">
            <w:pPr>
              <w:spacing w:beforeLines="60" w:afterLines="60"/>
              <w:rPr>
                <w:rFonts w:ascii="Verdana" w:hAnsi="Verdana" w:cs="Arial"/>
                <w:sz w:val="16"/>
                <w:szCs w:val="16"/>
              </w:rPr>
            </w:pPr>
          </w:p>
        </w:tc>
        <w:tc>
          <w:tcPr>
            <w:tcW w:w="380" w:type="pct"/>
          </w:tcPr>
          <w:p w:rsidR="00690BB4" w:rsidRPr="009A10F2" w:rsidRDefault="00690BB4" w:rsidP="00037B45">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690BB4" w:rsidRPr="009A10F2" w:rsidRDefault="00690BB4" w:rsidP="00037B45">
            <w:pPr>
              <w:spacing w:beforeLines="60" w:afterLines="60"/>
              <w:rPr>
                <w:rFonts w:ascii="Verdana" w:hAnsi="Verdana" w:cs="Arial"/>
                <w:sz w:val="20"/>
                <w:szCs w:val="20"/>
              </w:rPr>
            </w:pPr>
          </w:p>
        </w:tc>
      </w:tr>
      <w:tr w:rsidR="00690BB4" w:rsidRPr="009A10F2" w:rsidTr="00690BB4">
        <w:trPr>
          <w:cantSplit/>
          <w:trHeight w:val="295"/>
        </w:trPr>
        <w:tc>
          <w:tcPr>
            <w:tcW w:w="314" w:type="pct"/>
          </w:tcPr>
          <w:p w:rsidR="00690BB4" w:rsidRPr="009A10F2" w:rsidRDefault="00690BB4" w:rsidP="00037B45">
            <w:pPr>
              <w:spacing w:beforeLines="60" w:afterLines="60"/>
              <w:jc w:val="center"/>
              <w:rPr>
                <w:rFonts w:ascii="Verdana" w:hAnsi="Verdana" w:cs="Arial"/>
                <w:sz w:val="16"/>
                <w:szCs w:val="16"/>
              </w:rPr>
            </w:pPr>
          </w:p>
        </w:tc>
        <w:tc>
          <w:tcPr>
            <w:tcW w:w="380" w:type="pct"/>
          </w:tcPr>
          <w:p w:rsidR="00690BB4" w:rsidRPr="009A10F2" w:rsidRDefault="00690BB4" w:rsidP="00037B45">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690BB4" w:rsidRDefault="00690BB4" w:rsidP="00037B45">
            <w:pPr>
              <w:spacing w:beforeLines="60" w:afterLines="60"/>
              <w:rPr>
                <w:rFonts w:ascii="Verdana" w:hAnsi="Verdana" w:cs="Arial"/>
                <w:sz w:val="20"/>
                <w:szCs w:val="20"/>
              </w:rPr>
            </w:pPr>
            <w:r w:rsidRPr="00820AB1">
              <w:rPr>
                <w:rFonts w:ascii="Verdana" w:hAnsi="Verdana" w:cs="Arial"/>
                <w:b/>
                <w:bCs/>
                <w:sz w:val="20"/>
                <w:szCs w:val="20"/>
              </w:rPr>
              <w:t xml:space="preserve">Other Needs Assistance Program </w:t>
            </w:r>
            <w:r w:rsidRPr="00820AB1">
              <w:rPr>
                <w:rFonts w:ascii="Verdana" w:hAnsi="Verdana" w:cs="Arial"/>
                <w:sz w:val="20"/>
                <w:szCs w:val="20"/>
              </w:rPr>
              <w:t xml:space="preserve">- The Other Needs Assistance Grant Program provides grants to help families meet serious needs and personal expenses that are not covered by other government assistance programs, insurance, or other conventional forms of assistance. At present, grant amounts can be made up to $28,800 (adjusted annually in accordance with the consumer price index). Financial aid can be provided for medical expenses, transportation costs, </w:t>
            </w:r>
            <w:proofErr w:type="gramStart"/>
            <w:r w:rsidRPr="00820AB1">
              <w:rPr>
                <w:rFonts w:ascii="Verdana" w:hAnsi="Verdana" w:cs="Arial"/>
                <w:sz w:val="20"/>
                <w:szCs w:val="20"/>
              </w:rPr>
              <w:t>replacement</w:t>
            </w:r>
            <w:proofErr w:type="gramEnd"/>
            <w:r w:rsidRPr="00820AB1">
              <w:rPr>
                <w:rFonts w:ascii="Verdana" w:hAnsi="Verdana" w:cs="Arial"/>
                <w:sz w:val="20"/>
                <w:szCs w:val="20"/>
              </w:rPr>
              <w:t xml:space="preserve"> of essential property, protective measures, and funeral expenses. FEMA provides a 75 percent share of the program cost and the remaining 25 percent share is funded by state and/or local government.</w:t>
            </w:r>
          </w:p>
          <w:p w:rsidR="00690BB4" w:rsidRPr="009A10F2" w:rsidRDefault="004B28B9" w:rsidP="00037B45">
            <w:pPr>
              <w:spacing w:beforeLines="60" w:afterLines="60"/>
              <w:rPr>
                <w:rFonts w:ascii="Verdana" w:hAnsi="Verdana" w:cs="Arial"/>
                <w:sz w:val="20"/>
                <w:szCs w:val="20"/>
              </w:rPr>
            </w:pPr>
            <w:r>
              <w:rPr>
                <w:rFonts w:ascii="Verdana" w:hAnsi="Verdana" w:cs="Arial"/>
                <w:i/>
                <w:iCs/>
                <w:sz w:val="20"/>
                <w:szCs w:val="20"/>
              </w:rPr>
              <w:t>Funding Information:</w:t>
            </w:r>
          </w:p>
        </w:tc>
      </w:tr>
      <w:tr w:rsidR="00690BB4" w:rsidRPr="009A10F2" w:rsidTr="00690BB4">
        <w:trPr>
          <w:cantSplit/>
          <w:trHeight w:val="295"/>
        </w:trPr>
        <w:tc>
          <w:tcPr>
            <w:tcW w:w="314" w:type="pct"/>
          </w:tcPr>
          <w:p w:rsidR="00690BB4" w:rsidRPr="009A10F2" w:rsidRDefault="00690BB4" w:rsidP="00037B45">
            <w:pPr>
              <w:spacing w:beforeLines="60" w:afterLines="60"/>
              <w:rPr>
                <w:rFonts w:ascii="Verdana" w:hAnsi="Verdana" w:cs="Arial"/>
                <w:sz w:val="16"/>
                <w:szCs w:val="16"/>
              </w:rPr>
            </w:pPr>
          </w:p>
        </w:tc>
        <w:tc>
          <w:tcPr>
            <w:tcW w:w="380" w:type="pct"/>
          </w:tcPr>
          <w:p w:rsidR="00690BB4" w:rsidRPr="009A10F2" w:rsidRDefault="00690BB4" w:rsidP="00037B45">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690BB4" w:rsidRPr="009A10F2" w:rsidRDefault="00690BB4" w:rsidP="00037B45">
            <w:pPr>
              <w:spacing w:beforeLines="60" w:afterLines="60"/>
              <w:rPr>
                <w:rFonts w:ascii="Verdana" w:hAnsi="Verdana" w:cs="Arial"/>
                <w:sz w:val="20"/>
                <w:szCs w:val="20"/>
              </w:rPr>
            </w:pPr>
          </w:p>
        </w:tc>
      </w:tr>
      <w:tr w:rsidR="00690BB4" w:rsidRPr="009A10F2" w:rsidTr="00690BB4">
        <w:trPr>
          <w:cantSplit/>
          <w:trHeight w:val="295"/>
        </w:trPr>
        <w:tc>
          <w:tcPr>
            <w:tcW w:w="314" w:type="pct"/>
          </w:tcPr>
          <w:p w:rsidR="00690BB4" w:rsidRPr="009A10F2" w:rsidRDefault="00690BB4" w:rsidP="00037B45">
            <w:pPr>
              <w:spacing w:beforeLines="60" w:afterLines="60"/>
              <w:rPr>
                <w:rFonts w:ascii="Verdana" w:hAnsi="Verdana" w:cs="Arial"/>
                <w:sz w:val="16"/>
                <w:szCs w:val="16"/>
              </w:rPr>
            </w:pPr>
          </w:p>
        </w:tc>
        <w:tc>
          <w:tcPr>
            <w:tcW w:w="380" w:type="pct"/>
          </w:tcPr>
          <w:p w:rsidR="00690BB4" w:rsidRPr="009A10F2" w:rsidRDefault="00690BB4" w:rsidP="00037B45">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690BB4" w:rsidRPr="009A10F2" w:rsidRDefault="00690BB4" w:rsidP="00037B45">
            <w:pPr>
              <w:spacing w:beforeLines="60" w:afterLines="60"/>
              <w:rPr>
                <w:rFonts w:ascii="Verdana" w:hAnsi="Verdana" w:cs="Arial"/>
                <w:sz w:val="20"/>
                <w:szCs w:val="20"/>
              </w:rPr>
            </w:pPr>
          </w:p>
        </w:tc>
      </w:tr>
      <w:tr w:rsidR="00690BB4" w:rsidRPr="009A10F2" w:rsidTr="00690BB4">
        <w:trPr>
          <w:cantSplit/>
          <w:trHeight w:val="385"/>
        </w:trPr>
        <w:tc>
          <w:tcPr>
            <w:tcW w:w="314" w:type="pct"/>
          </w:tcPr>
          <w:p w:rsidR="00690BB4" w:rsidRPr="009A10F2" w:rsidRDefault="00690BB4" w:rsidP="00037B45">
            <w:pPr>
              <w:spacing w:beforeLines="60" w:afterLines="60"/>
              <w:jc w:val="center"/>
              <w:rPr>
                <w:rFonts w:ascii="Verdana" w:hAnsi="Verdana" w:cs="Arial"/>
                <w:sz w:val="16"/>
                <w:szCs w:val="16"/>
              </w:rPr>
            </w:pPr>
          </w:p>
        </w:tc>
        <w:tc>
          <w:tcPr>
            <w:tcW w:w="380" w:type="pct"/>
          </w:tcPr>
          <w:p w:rsidR="00690BB4" w:rsidRPr="009A10F2" w:rsidRDefault="00690BB4" w:rsidP="00037B45">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tcPr>
          <w:p w:rsidR="00690BB4" w:rsidRDefault="00690BB4" w:rsidP="00037B45">
            <w:pPr>
              <w:autoSpaceDE w:val="0"/>
              <w:autoSpaceDN w:val="0"/>
              <w:adjustRightInd w:val="0"/>
              <w:spacing w:beforeLines="60" w:afterLines="60"/>
              <w:rPr>
                <w:rFonts w:ascii="Verdana" w:hAnsi="Verdana" w:cs="Arial"/>
                <w:sz w:val="20"/>
                <w:szCs w:val="20"/>
              </w:rPr>
            </w:pPr>
            <w:r w:rsidRPr="00820AB1">
              <w:rPr>
                <w:rFonts w:ascii="Verdana" w:hAnsi="Verdana" w:cs="Arial"/>
                <w:b/>
                <w:bCs/>
                <w:sz w:val="20"/>
                <w:szCs w:val="20"/>
              </w:rPr>
              <w:t xml:space="preserve">Public Assistance Program (PA) </w:t>
            </w:r>
            <w:r w:rsidRPr="00820AB1">
              <w:rPr>
                <w:rFonts w:ascii="Verdana" w:hAnsi="Verdana" w:cs="Arial"/>
                <w:sz w:val="20"/>
                <w:szCs w:val="20"/>
              </w:rPr>
              <w:t>- The Public Assistance Program provides federal disaster relief directed to supplement the efforts of state and local governments to restore public infrastructure following a disaster. There are two types of public assistance, “emergency” work and “permanent” work. Emergency work includes disaster debris removal and emergency protective measures that include actions taken to provide for the public safety, protect improved property, and/or maintain operation of essential facilities such as emergency operations centers. Permanent work involves restoration of disaster damaged facilities owned by state/local governments and certain non-profit organizations that provide governmental type services.</w:t>
            </w:r>
          </w:p>
          <w:p w:rsidR="00632E27" w:rsidRDefault="00632E27" w:rsidP="00632E27">
            <w:pPr>
              <w:autoSpaceDE w:val="0"/>
              <w:autoSpaceDN w:val="0"/>
              <w:adjustRightInd w:val="0"/>
              <w:rPr>
                <w:rFonts w:ascii="Verdana" w:hAnsi="Verdana" w:cs="Arial"/>
                <w:sz w:val="20"/>
                <w:szCs w:val="20"/>
              </w:rPr>
            </w:pPr>
            <w:r>
              <w:rPr>
                <w:rFonts w:ascii="Verdana" w:hAnsi="Verdana" w:cs="Arial"/>
                <w:sz w:val="20"/>
                <w:szCs w:val="20"/>
              </w:rPr>
              <w:t xml:space="preserve">*** </w:t>
            </w:r>
            <w:r w:rsidRPr="00B43FD9">
              <w:rPr>
                <w:rFonts w:ascii="Verdana" w:hAnsi="Verdana" w:cs="Arial"/>
                <w:bCs/>
                <w:sz w:val="20"/>
                <w:szCs w:val="20"/>
              </w:rPr>
              <w:t>In Auditor General Report No. 2010-012, it was reported that as of</w:t>
            </w:r>
            <w:r w:rsidRPr="00B43FD9">
              <w:rPr>
                <w:rFonts w:ascii="Verdana" w:hAnsi="Verdana" w:cs="Arial"/>
                <w:sz w:val="20"/>
                <w:szCs w:val="20"/>
              </w:rPr>
              <w:t xml:space="preserve"> February 28, 2009, DEM had 2,870 open large projects relating to disasters that occurred between 1999 and 2008 with the majority of the projects being related to 2004 and 2005 </w:t>
            </w:r>
            <w:proofErr w:type="spellStart"/>
            <w:r w:rsidRPr="00B43FD9">
              <w:rPr>
                <w:rFonts w:ascii="Verdana" w:hAnsi="Verdana" w:cs="Arial"/>
                <w:sz w:val="20"/>
                <w:szCs w:val="20"/>
              </w:rPr>
              <w:t>calendar</w:t>
            </w:r>
            <w:r w:rsidRPr="00B43FD9">
              <w:rPr>
                <w:rFonts w:ascii="Verdana" w:hAnsi="Verdana" w:cs="Arial"/>
                <w:sz w:val="20"/>
                <w:szCs w:val="20"/>
              </w:rPr>
              <w:noBreakHyphen/>
              <w:t>year</w:t>
            </w:r>
            <w:proofErr w:type="spellEnd"/>
            <w:r w:rsidRPr="00B43FD9">
              <w:rPr>
                <w:rFonts w:ascii="Verdana" w:hAnsi="Verdana" w:cs="Arial"/>
                <w:sz w:val="20"/>
                <w:szCs w:val="20"/>
              </w:rPr>
              <w:t xml:space="preserve"> storms.  While the overall average age of these projects was three years, some had remained open for ten years.  </w:t>
            </w:r>
            <w:r>
              <w:rPr>
                <w:rFonts w:ascii="Verdana" w:hAnsi="Verdana" w:cs="Arial"/>
                <w:bCs/>
                <w:sz w:val="20"/>
                <w:szCs w:val="20"/>
              </w:rPr>
              <w:t>The audit</w:t>
            </w:r>
            <w:r w:rsidRPr="00B43FD9">
              <w:rPr>
                <w:rFonts w:ascii="Verdana" w:hAnsi="Verdana" w:cs="Arial"/>
                <w:sz w:val="20"/>
                <w:szCs w:val="20"/>
              </w:rPr>
              <w:t xml:space="preserve"> disclosed that DEM’s overall organizational structure and operating policies, inaccuracies in its data systems, and deficiencies in DEM </w:t>
            </w:r>
            <w:proofErr w:type="spellStart"/>
            <w:r w:rsidRPr="00B43FD9">
              <w:rPr>
                <w:rFonts w:ascii="Verdana" w:hAnsi="Verdana" w:cs="Arial"/>
                <w:sz w:val="20"/>
                <w:szCs w:val="20"/>
              </w:rPr>
              <w:t>subgrantee</w:t>
            </w:r>
            <w:proofErr w:type="spellEnd"/>
            <w:r w:rsidRPr="00B43FD9">
              <w:rPr>
                <w:rFonts w:ascii="Verdana" w:hAnsi="Verdana" w:cs="Arial"/>
                <w:sz w:val="20"/>
                <w:szCs w:val="20"/>
              </w:rPr>
              <w:t xml:space="preserve"> monitoring and conduct of final inspections contributed to the delays in settling large project disaster cla</w:t>
            </w:r>
            <w:r>
              <w:rPr>
                <w:rFonts w:ascii="Verdana" w:hAnsi="Verdana" w:cs="Arial"/>
                <w:sz w:val="20"/>
                <w:szCs w:val="20"/>
              </w:rPr>
              <w:t>ims.</w:t>
            </w:r>
          </w:p>
          <w:p w:rsidR="00690BB4" w:rsidRPr="009A10F2" w:rsidRDefault="004B28B9" w:rsidP="00037B45">
            <w:pPr>
              <w:autoSpaceDE w:val="0"/>
              <w:autoSpaceDN w:val="0"/>
              <w:adjustRightInd w:val="0"/>
              <w:spacing w:beforeLines="60" w:afterLines="60"/>
              <w:rPr>
                <w:rFonts w:ascii="Verdana" w:hAnsi="Verdana" w:cs="Arial"/>
                <w:sz w:val="20"/>
                <w:szCs w:val="20"/>
              </w:rPr>
            </w:pPr>
            <w:r>
              <w:rPr>
                <w:rFonts w:ascii="Verdana" w:hAnsi="Verdana" w:cs="Arial"/>
                <w:i/>
                <w:iCs/>
                <w:sz w:val="20"/>
                <w:szCs w:val="20"/>
              </w:rPr>
              <w:t>Funding Information:</w:t>
            </w:r>
          </w:p>
        </w:tc>
      </w:tr>
    </w:tbl>
    <w:p w:rsidR="0055123C" w:rsidRPr="00FA7BE8" w:rsidRDefault="0055123C" w:rsidP="004B28B9"/>
    <w:sectPr w:rsidR="0055123C" w:rsidRPr="00FA7BE8" w:rsidSect="00635614">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A7F" w:rsidRDefault="001B5A7F" w:rsidP="00A92B26">
      <w:r>
        <w:separator/>
      </w:r>
    </w:p>
  </w:endnote>
  <w:endnote w:type="continuationSeparator" w:id="0">
    <w:p w:rsidR="001B5A7F" w:rsidRDefault="001B5A7F" w:rsidP="00A92B2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tempelGaramond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578649"/>
      <w:docPartObj>
        <w:docPartGallery w:val="Page Numbers (Bottom of Page)"/>
        <w:docPartUnique/>
      </w:docPartObj>
    </w:sdtPr>
    <w:sdtContent>
      <w:p w:rsidR="001B5A7F" w:rsidRDefault="009B3C9A">
        <w:pPr>
          <w:pStyle w:val="Footer"/>
          <w:jc w:val="center"/>
        </w:pPr>
        <w:fldSimple w:instr=" PAGE   \* MERGEFORMAT ">
          <w:r w:rsidR="00037B45">
            <w:rPr>
              <w:noProof/>
            </w:rPr>
            <w:t>8</w:t>
          </w:r>
        </w:fldSimple>
      </w:p>
    </w:sdtContent>
  </w:sdt>
  <w:p w:rsidR="001B5A7F" w:rsidRDefault="001B5A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A7F" w:rsidRDefault="001B5A7F" w:rsidP="00A92B26">
      <w:r>
        <w:separator/>
      </w:r>
    </w:p>
  </w:footnote>
  <w:footnote w:type="continuationSeparator" w:id="0">
    <w:p w:rsidR="001B5A7F" w:rsidRDefault="001B5A7F" w:rsidP="00A92B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3in;height:3in" o:bullet="t"/>
    </w:pict>
  </w:numPicBullet>
  <w:numPicBullet w:numPicBulletId="1">
    <w:pict>
      <v:shape id="_x0000_i1072" type="#_x0000_t75" style="width:3in;height:3in" o:bullet="t"/>
    </w:pict>
  </w:numPicBullet>
  <w:numPicBullet w:numPicBulletId="2">
    <w:pict>
      <v:shape id="_x0000_i1073" type="#_x0000_t75" style="width:3in;height:3in" o:bullet="t"/>
    </w:pict>
  </w:numPicBullet>
  <w:abstractNum w:abstractNumId="0">
    <w:nsid w:val="015671E4"/>
    <w:multiLevelType w:val="hybridMultilevel"/>
    <w:tmpl w:val="05BA127C"/>
    <w:lvl w:ilvl="0" w:tplc="72E2CB38">
      <w:start w:val="1"/>
      <w:numFmt w:val="bullet"/>
      <w:lvlText w:val=""/>
      <w:lvlJc w:val="left"/>
      <w:pPr>
        <w:tabs>
          <w:tab w:val="num" w:pos="288"/>
        </w:tabs>
        <w:ind w:left="288" w:hanging="288"/>
      </w:pPr>
      <w:rPr>
        <w:rFonts w:ascii="Wingdings" w:hAnsi="Wingdings" w:hint="default"/>
      </w:rPr>
    </w:lvl>
    <w:lvl w:ilvl="1" w:tplc="211209F8">
      <w:start w:val="1"/>
      <w:numFmt w:val="bullet"/>
      <w:lvlText w:val=""/>
      <w:lvlJc w:val="left"/>
      <w:pPr>
        <w:tabs>
          <w:tab w:val="num" w:pos="1080"/>
        </w:tabs>
        <w:ind w:left="1080" w:hanging="72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3D36F86"/>
    <w:multiLevelType w:val="multilevel"/>
    <w:tmpl w:val="98AA3B8E"/>
    <w:lvl w:ilvl="0">
      <w:start w:val="1"/>
      <w:numFmt w:val="bullet"/>
      <w:lvlText w:val=""/>
      <w:lvlJc w:val="left"/>
      <w:pPr>
        <w:tabs>
          <w:tab w:val="num" w:pos="720"/>
        </w:tabs>
        <w:ind w:left="72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59F6487"/>
    <w:multiLevelType w:val="hybridMultilevel"/>
    <w:tmpl w:val="7E9A789A"/>
    <w:lvl w:ilvl="0" w:tplc="72E2CB3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4C1A5B"/>
    <w:multiLevelType w:val="multilevel"/>
    <w:tmpl w:val="915CF7F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D51A99"/>
    <w:multiLevelType w:val="hybridMultilevel"/>
    <w:tmpl w:val="20DCD87E"/>
    <w:lvl w:ilvl="0" w:tplc="72E2CB3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437BAF"/>
    <w:multiLevelType w:val="hybridMultilevel"/>
    <w:tmpl w:val="94003F36"/>
    <w:lvl w:ilvl="0" w:tplc="72E2CB3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776FFE"/>
    <w:multiLevelType w:val="hybridMultilevel"/>
    <w:tmpl w:val="463E08FE"/>
    <w:lvl w:ilvl="0" w:tplc="19900BE2">
      <w:start w:val="1"/>
      <w:numFmt w:val="bullet"/>
      <w:lvlText w:val="?"/>
      <w:lvlJc w:val="left"/>
      <w:pPr>
        <w:tabs>
          <w:tab w:val="num" w:pos="720"/>
        </w:tabs>
        <w:ind w:left="720" w:hanging="720"/>
      </w:pPr>
      <w:rPr>
        <w:rFonts w:ascii="StempelGaramond Roman" w:hAnsi="StempelGaramond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687BA8"/>
    <w:multiLevelType w:val="multilevel"/>
    <w:tmpl w:val="64184D74"/>
    <w:lvl w:ilvl="0">
      <w:start w:val="1"/>
      <w:numFmt w:val="bullet"/>
      <w:lvlText w:val=""/>
      <w:lvlJc w:val="left"/>
      <w:pPr>
        <w:tabs>
          <w:tab w:val="num" w:pos="288"/>
        </w:tabs>
        <w:ind w:left="288"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76311E4"/>
    <w:multiLevelType w:val="hybridMultilevel"/>
    <w:tmpl w:val="666CB354"/>
    <w:lvl w:ilvl="0" w:tplc="A3C8CE74">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B3E0546"/>
    <w:multiLevelType w:val="hybridMultilevel"/>
    <w:tmpl w:val="39689CE8"/>
    <w:lvl w:ilvl="0" w:tplc="72E2CB3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07E70D6"/>
    <w:multiLevelType w:val="hybridMultilevel"/>
    <w:tmpl w:val="1E2AB1F8"/>
    <w:lvl w:ilvl="0" w:tplc="B44A17A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2865594"/>
    <w:multiLevelType w:val="multilevel"/>
    <w:tmpl w:val="05BA127C"/>
    <w:lvl w:ilvl="0">
      <w:start w:val="1"/>
      <w:numFmt w:val="bullet"/>
      <w:lvlText w:val=""/>
      <w:lvlJc w:val="left"/>
      <w:pPr>
        <w:tabs>
          <w:tab w:val="num" w:pos="288"/>
        </w:tabs>
        <w:ind w:left="288" w:hanging="288"/>
      </w:pPr>
      <w:rPr>
        <w:rFonts w:ascii="Wingdings" w:hAnsi="Wingdings" w:hint="default"/>
      </w:rPr>
    </w:lvl>
    <w:lvl w:ilvl="1">
      <w:start w:val="1"/>
      <w:numFmt w:val="bullet"/>
      <w:lvlText w:val=""/>
      <w:lvlJc w:val="left"/>
      <w:pPr>
        <w:tabs>
          <w:tab w:val="num" w:pos="1080"/>
        </w:tabs>
        <w:ind w:left="1080" w:hanging="72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2">
    <w:nsid w:val="43C10319"/>
    <w:multiLevelType w:val="hybridMultilevel"/>
    <w:tmpl w:val="28E65F1A"/>
    <w:lvl w:ilvl="0" w:tplc="38323ED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41E7F71"/>
    <w:multiLevelType w:val="hybridMultilevel"/>
    <w:tmpl w:val="BB426E40"/>
    <w:lvl w:ilvl="0" w:tplc="72E2CB38">
      <w:start w:val="1"/>
      <w:numFmt w:val="bullet"/>
      <w:lvlText w:val=""/>
      <w:lvlJc w:val="left"/>
      <w:pPr>
        <w:tabs>
          <w:tab w:val="num" w:pos="288"/>
        </w:tabs>
        <w:ind w:left="288" w:hanging="288"/>
      </w:pPr>
      <w:rPr>
        <w:rFonts w:ascii="Wingdings" w:hAnsi="Wingdings" w:hint="default"/>
      </w:rPr>
    </w:lvl>
    <w:lvl w:ilvl="1" w:tplc="211209F8">
      <w:start w:val="1"/>
      <w:numFmt w:val="bullet"/>
      <w:lvlText w:val=""/>
      <w:lvlJc w:val="left"/>
      <w:pPr>
        <w:tabs>
          <w:tab w:val="num" w:pos="1080"/>
        </w:tabs>
        <w:ind w:left="1080" w:hanging="72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4A2F3A0A"/>
    <w:multiLevelType w:val="multilevel"/>
    <w:tmpl w:val="05BA127C"/>
    <w:lvl w:ilvl="0">
      <w:start w:val="1"/>
      <w:numFmt w:val="bullet"/>
      <w:lvlText w:val=""/>
      <w:lvlJc w:val="left"/>
      <w:pPr>
        <w:tabs>
          <w:tab w:val="num" w:pos="288"/>
        </w:tabs>
        <w:ind w:left="288" w:hanging="288"/>
      </w:pPr>
      <w:rPr>
        <w:rFonts w:ascii="Wingdings" w:hAnsi="Wingdings" w:hint="default"/>
      </w:rPr>
    </w:lvl>
    <w:lvl w:ilvl="1">
      <w:start w:val="1"/>
      <w:numFmt w:val="bullet"/>
      <w:lvlText w:val=""/>
      <w:lvlJc w:val="left"/>
      <w:pPr>
        <w:tabs>
          <w:tab w:val="num" w:pos="1080"/>
        </w:tabs>
        <w:ind w:left="1080" w:hanging="72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5">
    <w:nsid w:val="4B52594C"/>
    <w:multiLevelType w:val="hybridMultilevel"/>
    <w:tmpl w:val="763A2EB8"/>
    <w:lvl w:ilvl="0" w:tplc="38323E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7155B3"/>
    <w:multiLevelType w:val="multilevel"/>
    <w:tmpl w:val="94003F36"/>
    <w:lvl w:ilvl="0">
      <w:start w:val="1"/>
      <w:numFmt w:val="bullet"/>
      <w:lvlText w:val=""/>
      <w:lvlJc w:val="left"/>
      <w:pPr>
        <w:tabs>
          <w:tab w:val="num" w:pos="288"/>
        </w:tabs>
        <w:ind w:left="288"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E6673E8"/>
    <w:multiLevelType w:val="multilevel"/>
    <w:tmpl w:val="05BA127C"/>
    <w:lvl w:ilvl="0">
      <w:start w:val="1"/>
      <w:numFmt w:val="bullet"/>
      <w:lvlText w:val=""/>
      <w:lvlJc w:val="left"/>
      <w:pPr>
        <w:tabs>
          <w:tab w:val="num" w:pos="288"/>
        </w:tabs>
        <w:ind w:left="288" w:hanging="288"/>
      </w:pPr>
      <w:rPr>
        <w:rFonts w:ascii="Wingdings" w:hAnsi="Wingdings" w:hint="default"/>
      </w:rPr>
    </w:lvl>
    <w:lvl w:ilvl="1">
      <w:start w:val="1"/>
      <w:numFmt w:val="bullet"/>
      <w:lvlText w:val=""/>
      <w:lvlJc w:val="left"/>
      <w:pPr>
        <w:tabs>
          <w:tab w:val="num" w:pos="1080"/>
        </w:tabs>
        <w:ind w:left="1080" w:hanging="72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8">
    <w:nsid w:val="505F0AED"/>
    <w:multiLevelType w:val="hybridMultilevel"/>
    <w:tmpl w:val="C6649510"/>
    <w:lvl w:ilvl="0" w:tplc="72E2CB3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8910463"/>
    <w:multiLevelType w:val="hybridMultilevel"/>
    <w:tmpl w:val="F85EFB38"/>
    <w:lvl w:ilvl="0" w:tplc="E794CC78">
      <w:start w:val="1"/>
      <w:numFmt w:val="bullet"/>
      <w:lvlText w:val=""/>
      <w:lvlJc w:val="left"/>
      <w:pPr>
        <w:tabs>
          <w:tab w:val="num" w:pos="288"/>
        </w:tabs>
        <w:ind w:left="288" w:hanging="288"/>
      </w:pPr>
      <w:rPr>
        <w:rFonts w:ascii="Wingdings" w:hAnsi="Wingdings" w:hint="default"/>
      </w:rPr>
    </w:lvl>
    <w:lvl w:ilvl="1" w:tplc="211209F8">
      <w:start w:val="1"/>
      <w:numFmt w:val="bullet"/>
      <w:lvlText w:val=""/>
      <w:lvlJc w:val="left"/>
      <w:pPr>
        <w:tabs>
          <w:tab w:val="num" w:pos="1080"/>
        </w:tabs>
        <w:ind w:left="1080" w:hanging="72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5C3E7C44"/>
    <w:multiLevelType w:val="multilevel"/>
    <w:tmpl w:val="2258E706"/>
    <w:lvl w:ilvl="0">
      <w:start w:val="1"/>
      <w:numFmt w:val="bullet"/>
      <w:lvlText w:val=""/>
      <w:lvlJc w:val="left"/>
      <w:pPr>
        <w:tabs>
          <w:tab w:val="num" w:pos="720"/>
        </w:tabs>
        <w:ind w:left="720" w:hanging="720"/>
      </w:pPr>
      <w:rPr>
        <w:rFonts w:ascii="Wingdings" w:hAnsi="Wingdings" w:hint="default"/>
      </w:rPr>
    </w:lvl>
    <w:lvl w:ilvl="1">
      <w:start w:val="1"/>
      <w:numFmt w:val="bullet"/>
      <w:lvlText w:val=""/>
      <w:lvlJc w:val="left"/>
      <w:pPr>
        <w:tabs>
          <w:tab w:val="num" w:pos="1080"/>
        </w:tabs>
        <w:ind w:left="1080" w:hanging="72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1">
    <w:nsid w:val="605E4A33"/>
    <w:multiLevelType w:val="hybridMultilevel"/>
    <w:tmpl w:val="3D9ABA9C"/>
    <w:lvl w:ilvl="0" w:tplc="72E2CB38">
      <w:start w:val="1"/>
      <w:numFmt w:val="bullet"/>
      <w:lvlText w:val=""/>
      <w:lvlJc w:val="left"/>
      <w:pPr>
        <w:tabs>
          <w:tab w:val="num" w:pos="288"/>
        </w:tabs>
        <w:ind w:left="288" w:hanging="288"/>
      </w:pPr>
      <w:rPr>
        <w:rFonts w:ascii="Wingdings" w:hAnsi="Wingdings" w:hint="default"/>
      </w:rPr>
    </w:lvl>
    <w:lvl w:ilvl="1" w:tplc="211209F8">
      <w:start w:val="1"/>
      <w:numFmt w:val="bullet"/>
      <w:lvlText w:val=""/>
      <w:lvlJc w:val="left"/>
      <w:pPr>
        <w:tabs>
          <w:tab w:val="num" w:pos="1080"/>
        </w:tabs>
        <w:ind w:left="1080" w:hanging="72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648349BB"/>
    <w:multiLevelType w:val="hybridMultilevel"/>
    <w:tmpl w:val="98AA3B8E"/>
    <w:lvl w:ilvl="0" w:tplc="18C0D602">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576364B"/>
    <w:multiLevelType w:val="hybridMultilevel"/>
    <w:tmpl w:val="2258E706"/>
    <w:lvl w:ilvl="0" w:tplc="758ACEE6">
      <w:start w:val="1"/>
      <w:numFmt w:val="bullet"/>
      <w:lvlText w:val=""/>
      <w:lvlJc w:val="left"/>
      <w:pPr>
        <w:tabs>
          <w:tab w:val="num" w:pos="720"/>
        </w:tabs>
        <w:ind w:left="720" w:hanging="720"/>
      </w:pPr>
      <w:rPr>
        <w:rFonts w:ascii="Wingdings" w:hAnsi="Wingdings" w:hint="default"/>
      </w:rPr>
    </w:lvl>
    <w:lvl w:ilvl="1" w:tplc="211209F8">
      <w:start w:val="1"/>
      <w:numFmt w:val="bullet"/>
      <w:lvlText w:val=""/>
      <w:lvlJc w:val="left"/>
      <w:pPr>
        <w:tabs>
          <w:tab w:val="num" w:pos="1080"/>
        </w:tabs>
        <w:ind w:left="1080" w:hanging="72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65E55BBF"/>
    <w:multiLevelType w:val="hybridMultilevel"/>
    <w:tmpl w:val="5BCE3FEA"/>
    <w:lvl w:ilvl="0" w:tplc="38323ED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A60365C"/>
    <w:multiLevelType w:val="multilevel"/>
    <w:tmpl w:val="1E2AB1F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B2F2F24"/>
    <w:multiLevelType w:val="hybridMultilevel"/>
    <w:tmpl w:val="647C77F4"/>
    <w:lvl w:ilvl="0" w:tplc="A3C8CE74">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01F3833"/>
    <w:multiLevelType w:val="hybridMultilevel"/>
    <w:tmpl w:val="64184D74"/>
    <w:lvl w:ilvl="0" w:tplc="A3C8CE74">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0D32858"/>
    <w:multiLevelType w:val="hybridMultilevel"/>
    <w:tmpl w:val="C1264D32"/>
    <w:lvl w:ilvl="0" w:tplc="22FEF2B4">
      <w:start w:val="1"/>
      <w:numFmt w:val="bullet"/>
      <w:lvlText w:val=""/>
      <w:lvlJc w:val="left"/>
      <w:pPr>
        <w:tabs>
          <w:tab w:val="num" w:pos="2160"/>
        </w:tabs>
        <w:ind w:left="2160" w:hanging="720"/>
      </w:pPr>
      <w:rPr>
        <w:rFonts w:ascii="Wingdings" w:hAnsi="Wingdings"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9">
    <w:nsid w:val="73FC5042"/>
    <w:multiLevelType w:val="hybridMultilevel"/>
    <w:tmpl w:val="B8ECBB66"/>
    <w:lvl w:ilvl="0" w:tplc="EF6C8A94">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9D062E3"/>
    <w:multiLevelType w:val="multilevel"/>
    <w:tmpl w:val="33D4A558"/>
    <w:lvl w:ilvl="0">
      <w:start w:val="1"/>
      <w:numFmt w:val="bullet"/>
      <w:lvlText w:val=""/>
      <w:lvlJc w:val="left"/>
      <w:pPr>
        <w:tabs>
          <w:tab w:val="num" w:pos="288"/>
        </w:tabs>
        <w:ind w:left="288"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23"/>
  </w:num>
  <w:num w:numId="4">
    <w:abstractNumId w:val="28"/>
  </w:num>
  <w:num w:numId="5">
    <w:abstractNumId w:val="20"/>
  </w:num>
  <w:num w:numId="6">
    <w:abstractNumId w:val="0"/>
  </w:num>
  <w:num w:numId="7">
    <w:abstractNumId w:val="4"/>
  </w:num>
  <w:num w:numId="8">
    <w:abstractNumId w:val="22"/>
  </w:num>
  <w:num w:numId="9">
    <w:abstractNumId w:val="1"/>
  </w:num>
  <w:num w:numId="10">
    <w:abstractNumId w:val="10"/>
  </w:num>
  <w:num w:numId="11">
    <w:abstractNumId w:val="17"/>
  </w:num>
  <w:num w:numId="12">
    <w:abstractNumId w:val="19"/>
  </w:num>
  <w:num w:numId="13">
    <w:abstractNumId w:val="25"/>
  </w:num>
  <w:num w:numId="14">
    <w:abstractNumId w:val="8"/>
  </w:num>
  <w:num w:numId="15">
    <w:abstractNumId w:val="30"/>
  </w:num>
  <w:num w:numId="16">
    <w:abstractNumId w:val="27"/>
  </w:num>
  <w:num w:numId="17">
    <w:abstractNumId w:val="11"/>
  </w:num>
  <w:num w:numId="18">
    <w:abstractNumId w:val="21"/>
  </w:num>
  <w:num w:numId="19">
    <w:abstractNumId w:val="14"/>
  </w:num>
  <w:num w:numId="20">
    <w:abstractNumId w:val="13"/>
  </w:num>
  <w:num w:numId="21">
    <w:abstractNumId w:val="7"/>
  </w:num>
  <w:num w:numId="22">
    <w:abstractNumId w:val="5"/>
  </w:num>
  <w:num w:numId="23">
    <w:abstractNumId w:val="16"/>
  </w:num>
  <w:num w:numId="24">
    <w:abstractNumId w:val="26"/>
  </w:num>
  <w:num w:numId="25">
    <w:abstractNumId w:val="9"/>
  </w:num>
  <w:num w:numId="26">
    <w:abstractNumId w:val="2"/>
  </w:num>
  <w:num w:numId="27">
    <w:abstractNumId w:val="18"/>
  </w:num>
  <w:num w:numId="28">
    <w:abstractNumId w:val="29"/>
  </w:num>
  <w:num w:numId="29">
    <w:abstractNumId w:val="24"/>
  </w:num>
  <w:num w:numId="30">
    <w:abstractNumId w:val="12"/>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457B3"/>
    <w:rsid w:val="00004415"/>
    <w:rsid w:val="00037B45"/>
    <w:rsid w:val="000530F9"/>
    <w:rsid w:val="00080637"/>
    <w:rsid w:val="0008472F"/>
    <w:rsid w:val="000B362F"/>
    <w:rsid w:val="000E62D1"/>
    <w:rsid w:val="001028C3"/>
    <w:rsid w:val="00123BBC"/>
    <w:rsid w:val="00124DC8"/>
    <w:rsid w:val="00147497"/>
    <w:rsid w:val="00153D90"/>
    <w:rsid w:val="001553D9"/>
    <w:rsid w:val="00186048"/>
    <w:rsid w:val="001B1EF0"/>
    <w:rsid w:val="001B5A7F"/>
    <w:rsid w:val="001C23EB"/>
    <w:rsid w:val="001E2BEA"/>
    <w:rsid w:val="001F203E"/>
    <w:rsid w:val="00211498"/>
    <w:rsid w:val="00220CE6"/>
    <w:rsid w:val="00222BA8"/>
    <w:rsid w:val="002424C8"/>
    <w:rsid w:val="00272D1A"/>
    <w:rsid w:val="00276DFA"/>
    <w:rsid w:val="00285E04"/>
    <w:rsid w:val="002A1839"/>
    <w:rsid w:val="002A3305"/>
    <w:rsid w:val="002A52A8"/>
    <w:rsid w:val="002C1308"/>
    <w:rsid w:val="002C7B30"/>
    <w:rsid w:val="002E3782"/>
    <w:rsid w:val="002E6530"/>
    <w:rsid w:val="002F5C65"/>
    <w:rsid w:val="00307368"/>
    <w:rsid w:val="00327E9B"/>
    <w:rsid w:val="00377FCA"/>
    <w:rsid w:val="00386ED9"/>
    <w:rsid w:val="00393A44"/>
    <w:rsid w:val="003A31E0"/>
    <w:rsid w:val="003E34ED"/>
    <w:rsid w:val="003E4710"/>
    <w:rsid w:val="004511C4"/>
    <w:rsid w:val="00455F67"/>
    <w:rsid w:val="0046330A"/>
    <w:rsid w:val="004B13C5"/>
    <w:rsid w:val="004B28B9"/>
    <w:rsid w:val="004B68A0"/>
    <w:rsid w:val="004C23B7"/>
    <w:rsid w:val="004D2AF9"/>
    <w:rsid w:val="004D3BEB"/>
    <w:rsid w:val="004E37F1"/>
    <w:rsid w:val="004F191C"/>
    <w:rsid w:val="00522A72"/>
    <w:rsid w:val="00531B48"/>
    <w:rsid w:val="0055123C"/>
    <w:rsid w:val="00573F75"/>
    <w:rsid w:val="005741B9"/>
    <w:rsid w:val="00575FB1"/>
    <w:rsid w:val="0059092A"/>
    <w:rsid w:val="00591E61"/>
    <w:rsid w:val="005A461A"/>
    <w:rsid w:val="005D1EEA"/>
    <w:rsid w:val="005D396B"/>
    <w:rsid w:val="005E5A2C"/>
    <w:rsid w:val="006131B8"/>
    <w:rsid w:val="006179C0"/>
    <w:rsid w:val="00627095"/>
    <w:rsid w:val="00632E27"/>
    <w:rsid w:val="00635614"/>
    <w:rsid w:val="0066005C"/>
    <w:rsid w:val="00660E20"/>
    <w:rsid w:val="00684463"/>
    <w:rsid w:val="00690BB4"/>
    <w:rsid w:val="006911E0"/>
    <w:rsid w:val="006B1963"/>
    <w:rsid w:val="006C0BD2"/>
    <w:rsid w:val="006C60E2"/>
    <w:rsid w:val="006D1BAE"/>
    <w:rsid w:val="00725C84"/>
    <w:rsid w:val="007354EA"/>
    <w:rsid w:val="00736D92"/>
    <w:rsid w:val="007934A6"/>
    <w:rsid w:val="00794EFB"/>
    <w:rsid w:val="00795315"/>
    <w:rsid w:val="007A2AC7"/>
    <w:rsid w:val="007C6906"/>
    <w:rsid w:val="007D2BC1"/>
    <w:rsid w:val="007E5B66"/>
    <w:rsid w:val="007F74DC"/>
    <w:rsid w:val="00820AB1"/>
    <w:rsid w:val="008225A3"/>
    <w:rsid w:val="0082687C"/>
    <w:rsid w:val="0083156C"/>
    <w:rsid w:val="00832880"/>
    <w:rsid w:val="00833A17"/>
    <w:rsid w:val="00834B9E"/>
    <w:rsid w:val="00845B3A"/>
    <w:rsid w:val="008678C5"/>
    <w:rsid w:val="008740F5"/>
    <w:rsid w:val="00874CAE"/>
    <w:rsid w:val="00887877"/>
    <w:rsid w:val="0089275A"/>
    <w:rsid w:val="008B0ED4"/>
    <w:rsid w:val="008B320D"/>
    <w:rsid w:val="008C64FE"/>
    <w:rsid w:val="008F67CD"/>
    <w:rsid w:val="00920D82"/>
    <w:rsid w:val="00940AE5"/>
    <w:rsid w:val="00951B61"/>
    <w:rsid w:val="00965549"/>
    <w:rsid w:val="0096734F"/>
    <w:rsid w:val="009A10F2"/>
    <w:rsid w:val="009B3C9A"/>
    <w:rsid w:val="009B44F2"/>
    <w:rsid w:val="009B5267"/>
    <w:rsid w:val="009C3E41"/>
    <w:rsid w:val="009E4D98"/>
    <w:rsid w:val="00A32913"/>
    <w:rsid w:val="00A63293"/>
    <w:rsid w:val="00A7421A"/>
    <w:rsid w:val="00A80680"/>
    <w:rsid w:val="00A92B26"/>
    <w:rsid w:val="00A9728C"/>
    <w:rsid w:val="00AA3D3E"/>
    <w:rsid w:val="00AC1E59"/>
    <w:rsid w:val="00B11751"/>
    <w:rsid w:val="00B136A7"/>
    <w:rsid w:val="00B17D6C"/>
    <w:rsid w:val="00B96C8F"/>
    <w:rsid w:val="00BA1BF1"/>
    <w:rsid w:val="00BA38D1"/>
    <w:rsid w:val="00C06A20"/>
    <w:rsid w:val="00C10067"/>
    <w:rsid w:val="00C112A2"/>
    <w:rsid w:val="00C14A45"/>
    <w:rsid w:val="00C31458"/>
    <w:rsid w:val="00C33692"/>
    <w:rsid w:val="00C34C7A"/>
    <w:rsid w:val="00C53240"/>
    <w:rsid w:val="00C6552D"/>
    <w:rsid w:val="00C73F73"/>
    <w:rsid w:val="00C818F0"/>
    <w:rsid w:val="00C83B11"/>
    <w:rsid w:val="00C86EEE"/>
    <w:rsid w:val="00C93DD1"/>
    <w:rsid w:val="00C96BE8"/>
    <w:rsid w:val="00CA77EA"/>
    <w:rsid w:val="00CB01FE"/>
    <w:rsid w:val="00CB32EC"/>
    <w:rsid w:val="00CD5D2B"/>
    <w:rsid w:val="00CE0E9F"/>
    <w:rsid w:val="00CE5C26"/>
    <w:rsid w:val="00D07A88"/>
    <w:rsid w:val="00D11AB3"/>
    <w:rsid w:val="00D12FB6"/>
    <w:rsid w:val="00D135BF"/>
    <w:rsid w:val="00D16830"/>
    <w:rsid w:val="00D25954"/>
    <w:rsid w:val="00D54298"/>
    <w:rsid w:val="00D55046"/>
    <w:rsid w:val="00D70C20"/>
    <w:rsid w:val="00D87997"/>
    <w:rsid w:val="00DC03C3"/>
    <w:rsid w:val="00DD69A2"/>
    <w:rsid w:val="00DE6789"/>
    <w:rsid w:val="00E1368F"/>
    <w:rsid w:val="00E17995"/>
    <w:rsid w:val="00E30E0E"/>
    <w:rsid w:val="00E72064"/>
    <w:rsid w:val="00E743BE"/>
    <w:rsid w:val="00E767AE"/>
    <w:rsid w:val="00E92104"/>
    <w:rsid w:val="00EA2308"/>
    <w:rsid w:val="00EA7D0E"/>
    <w:rsid w:val="00ED2EBC"/>
    <w:rsid w:val="00ED4EF0"/>
    <w:rsid w:val="00EE79C7"/>
    <w:rsid w:val="00EF1A7C"/>
    <w:rsid w:val="00F37A2D"/>
    <w:rsid w:val="00F457B3"/>
    <w:rsid w:val="00F575B5"/>
    <w:rsid w:val="00F60D88"/>
    <w:rsid w:val="00F815F2"/>
    <w:rsid w:val="00F93343"/>
    <w:rsid w:val="00FA7BE8"/>
    <w:rsid w:val="00FB3751"/>
    <w:rsid w:val="00FC6066"/>
    <w:rsid w:val="00FE3281"/>
    <w:rsid w:val="00FE38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38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5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45B3A"/>
    <w:rPr>
      <w:rFonts w:ascii="Tahoma" w:hAnsi="Tahoma" w:cs="Tahoma"/>
      <w:sz w:val="16"/>
      <w:szCs w:val="16"/>
    </w:rPr>
  </w:style>
  <w:style w:type="character" w:styleId="Hyperlink">
    <w:name w:val="Hyperlink"/>
    <w:basedOn w:val="DefaultParagraphFont"/>
    <w:rsid w:val="001C23EB"/>
    <w:rPr>
      <w:b w:val="0"/>
      <w:bCs w:val="0"/>
      <w:color w:val="000066"/>
      <w:u w:val="single"/>
    </w:rPr>
  </w:style>
  <w:style w:type="paragraph" w:styleId="NormalWeb">
    <w:name w:val="Normal (Web)"/>
    <w:basedOn w:val="Normal"/>
    <w:uiPriority w:val="99"/>
    <w:rsid w:val="001C23EB"/>
    <w:pPr>
      <w:spacing w:before="100" w:beforeAutospacing="1" w:after="100" w:afterAutospacing="1"/>
    </w:pPr>
  </w:style>
  <w:style w:type="character" w:styleId="Strong">
    <w:name w:val="Strong"/>
    <w:basedOn w:val="DefaultParagraphFont"/>
    <w:qFormat/>
    <w:rsid w:val="001C23EB"/>
    <w:rPr>
      <w:b/>
      <w:bCs/>
    </w:rPr>
  </w:style>
  <w:style w:type="paragraph" w:styleId="Header">
    <w:name w:val="header"/>
    <w:basedOn w:val="Normal"/>
    <w:link w:val="HeaderChar"/>
    <w:rsid w:val="00A92B26"/>
    <w:pPr>
      <w:tabs>
        <w:tab w:val="center" w:pos="4680"/>
        <w:tab w:val="right" w:pos="9360"/>
      </w:tabs>
    </w:pPr>
  </w:style>
  <w:style w:type="character" w:customStyle="1" w:styleId="HeaderChar">
    <w:name w:val="Header Char"/>
    <w:basedOn w:val="DefaultParagraphFont"/>
    <w:link w:val="Header"/>
    <w:rsid w:val="00A92B26"/>
    <w:rPr>
      <w:sz w:val="24"/>
      <w:szCs w:val="24"/>
    </w:rPr>
  </w:style>
  <w:style w:type="paragraph" w:styleId="Footer">
    <w:name w:val="footer"/>
    <w:basedOn w:val="Normal"/>
    <w:link w:val="FooterChar"/>
    <w:uiPriority w:val="99"/>
    <w:rsid w:val="00A92B26"/>
    <w:pPr>
      <w:tabs>
        <w:tab w:val="center" w:pos="4680"/>
        <w:tab w:val="right" w:pos="9360"/>
      </w:tabs>
    </w:pPr>
  </w:style>
  <w:style w:type="character" w:customStyle="1" w:styleId="FooterChar">
    <w:name w:val="Footer Char"/>
    <w:basedOn w:val="DefaultParagraphFont"/>
    <w:link w:val="Footer"/>
    <w:uiPriority w:val="99"/>
    <w:rsid w:val="00A92B26"/>
    <w:rPr>
      <w:sz w:val="24"/>
      <w:szCs w:val="24"/>
    </w:rPr>
  </w:style>
</w:styles>
</file>

<file path=word/webSettings.xml><?xml version="1.0" encoding="utf-8"?>
<w:webSettings xmlns:r="http://schemas.openxmlformats.org/officeDocument/2006/relationships" xmlns:w="http://schemas.openxmlformats.org/wordprocessingml/2006/main">
  <w:divs>
    <w:div w:id="39014922">
      <w:bodyDiv w:val="1"/>
      <w:marLeft w:val="0"/>
      <w:marRight w:val="0"/>
      <w:marTop w:val="0"/>
      <w:marBottom w:val="0"/>
      <w:divBdr>
        <w:top w:val="none" w:sz="0" w:space="0" w:color="auto"/>
        <w:left w:val="none" w:sz="0" w:space="0" w:color="auto"/>
        <w:bottom w:val="none" w:sz="0" w:space="0" w:color="auto"/>
        <w:right w:val="none" w:sz="0" w:space="0" w:color="auto"/>
      </w:divBdr>
      <w:divsChild>
        <w:div w:id="1781755315">
          <w:marLeft w:val="0"/>
          <w:marRight w:val="0"/>
          <w:marTop w:val="0"/>
          <w:marBottom w:val="0"/>
          <w:divBdr>
            <w:top w:val="single" w:sz="6" w:space="1" w:color="CCCCCC"/>
            <w:left w:val="single" w:sz="6" w:space="1" w:color="CCCCCC"/>
            <w:bottom w:val="single" w:sz="6" w:space="1" w:color="CCCCCC"/>
            <w:right w:val="single" w:sz="6" w:space="1" w:color="CCCCCC"/>
          </w:divBdr>
          <w:divsChild>
            <w:div w:id="722414000">
              <w:marLeft w:val="0"/>
              <w:marRight w:val="0"/>
              <w:marTop w:val="0"/>
              <w:marBottom w:val="0"/>
              <w:divBdr>
                <w:top w:val="none" w:sz="0" w:space="0" w:color="auto"/>
                <w:left w:val="none" w:sz="0" w:space="0" w:color="auto"/>
                <w:bottom w:val="none" w:sz="0" w:space="0" w:color="auto"/>
                <w:right w:val="none" w:sz="0" w:space="0" w:color="auto"/>
              </w:divBdr>
              <w:divsChild>
                <w:div w:id="418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81392">
      <w:bodyDiv w:val="1"/>
      <w:marLeft w:val="0"/>
      <w:marRight w:val="0"/>
      <w:marTop w:val="0"/>
      <w:marBottom w:val="0"/>
      <w:divBdr>
        <w:top w:val="none" w:sz="0" w:space="0" w:color="auto"/>
        <w:left w:val="none" w:sz="0" w:space="0" w:color="auto"/>
        <w:bottom w:val="none" w:sz="0" w:space="0" w:color="auto"/>
        <w:right w:val="none" w:sz="0" w:space="0" w:color="auto"/>
      </w:divBdr>
      <w:divsChild>
        <w:div w:id="119957465">
          <w:marLeft w:val="0"/>
          <w:marRight w:val="0"/>
          <w:marTop w:val="0"/>
          <w:marBottom w:val="0"/>
          <w:divBdr>
            <w:top w:val="single" w:sz="6" w:space="1" w:color="CCCCCC"/>
            <w:left w:val="single" w:sz="6" w:space="1" w:color="CCCCCC"/>
            <w:bottom w:val="single" w:sz="6" w:space="1" w:color="CCCCCC"/>
            <w:right w:val="single" w:sz="6" w:space="1" w:color="CCCCCC"/>
          </w:divBdr>
          <w:divsChild>
            <w:div w:id="1038580441">
              <w:marLeft w:val="0"/>
              <w:marRight w:val="0"/>
              <w:marTop w:val="0"/>
              <w:marBottom w:val="0"/>
              <w:divBdr>
                <w:top w:val="none" w:sz="0" w:space="0" w:color="auto"/>
                <w:left w:val="none" w:sz="0" w:space="0" w:color="auto"/>
                <w:bottom w:val="none" w:sz="0" w:space="0" w:color="auto"/>
                <w:right w:val="none" w:sz="0" w:space="0" w:color="auto"/>
              </w:divBdr>
              <w:divsChild>
                <w:div w:id="121060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88362">
      <w:bodyDiv w:val="1"/>
      <w:marLeft w:val="0"/>
      <w:marRight w:val="0"/>
      <w:marTop w:val="0"/>
      <w:marBottom w:val="0"/>
      <w:divBdr>
        <w:top w:val="none" w:sz="0" w:space="0" w:color="auto"/>
        <w:left w:val="none" w:sz="0" w:space="0" w:color="auto"/>
        <w:bottom w:val="none" w:sz="0" w:space="0" w:color="auto"/>
        <w:right w:val="none" w:sz="0" w:space="0" w:color="auto"/>
      </w:divBdr>
      <w:divsChild>
        <w:div w:id="2142964971">
          <w:marLeft w:val="0"/>
          <w:marRight w:val="0"/>
          <w:marTop w:val="0"/>
          <w:marBottom w:val="0"/>
          <w:divBdr>
            <w:top w:val="none" w:sz="0" w:space="0" w:color="auto"/>
            <w:left w:val="none" w:sz="0" w:space="0" w:color="auto"/>
            <w:bottom w:val="none" w:sz="0" w:space="0" w:color="auto"/>
            <w:right w:val="none" w:sz="0" w:space="0" w:color="auto"/>
          </w:divBdr>
          <w:divsChild>
            <w:div w:id="7794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9196">
      <w:bodyDiv w:val="1"/>
      <w:marLeft w:val="0"/>
      <w:marRight w:val="0"/>
      <w:marTop w:val="0"/>
      <w:marBottom w:val="0"/>
      <w:divBdr>
        <w:top w:val="none" w:sz="0" w:space="0" w:color="auto"/>
        <w:left w:val="none" w:sz="0" w:space="0" w:color="auto"/>
        <w:bottom w:val="none" w:sz="0" w:space="0" w:color="auto"/>
        <w:right w:val="none" w:sz="0" w:space="0" w:color="auto"/>
      </w:divBdr>
      <w:divsChild>
        <w:div w:id="158159943">
          <w:marLeft w:val="0"/>
          <w:marRight w:val="0"/>
          <w:marTop w:val="0"/>
          <w:marBottom w:val="0"/>
          <w:divBdr>
            <w:top w:val="single" w:sz="6" w:space="1" w:color="CCCCCC"/>
            <w:left w:val="single" w:sz="6" w:space="1" w:color="CCCCCC"/>
            <w:bottom w:val="single" w:sz="6" w:space="1" w:color="CCCCCC"/>
            <w:right w:val="single" w:sz="6" w:space="1" w:color="CCCCCC"/>
          </w:divBdr>
          <w:divsChild>
            <w:div w:id="88238564">
              <w:marLeft w:val="0"/>
              <w:marRight w:val="0"/>
              <w:marTop w:val="0"/>
              <w:marBottom w:val="0"/>
              <w:divBdr>
                <w:top w:val="none" w:sz="0" w:space="0" w:color="auto"/>
                <w:left w:val="none" w:sz="0" w:space="0" w:color="auto"/>
                <w:bottom w:val="none" w:sz="0" w:space="0" w:color="auto"/>
                <w:right w:val="none" w:sz="0" w:space="0" w:color="auto"/>
              </w:divBdr>
              <w:divsChild>
                <w:div w:id="9480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54256">
      <w:bodyDiv w:val="1"/>
      <w:marLeft w:val="0"/>
      <w:marRight w:val="0"/>
      <w:marTop w:val="0"/>
      <w:marBottom w:val="0"/>
      <w:divBdr>
        <w:top w:val="none" w:sz="0" w:space="0" w:color="auto"/>
        <w:left w:val="none" w:sz="0" w:space="0" w:color="auto"/>
        <w:bottom w:val="none" w:sz="0" w:space="0" w:color="auto"/>
        <w:right w:val="none" w:sz="0" w:space="0" w:color="auto"/>
      </w:divBdr>
      <w:divsChild>
        <w:div w:id="2097827004">
          <w:marLeft w:val="0"/>
          <w:marRight w:val="0"/>
          <w:marTop w:val="0"/>
          <w:marBottom w:val="0"/>
          <w:divBdr>
            <w:top w:val="single" w:sz="6" w:space="1" w:color="CCCCCC"/>
            <w:left w:val="single" w:sz="6" w:space="1" w:color="CCCCCC"/>
            <w:bottom w:val="single" w:sz="6" w:space="1" w:color="CCCCCC"/>
            <w:right w:val="single" w:sz="6" w:space="1" w:color="CCCCCC"/>
          </w:divBdr>
          <w:divsChild>
            <w:div w:id="1816289213">
              <w:marLeft w:val="0"/>
              <w:marRight w:val="0"/>
              <w:marTop w:val="0"/>
              <w:marBottom w:val="0"/>
              <w:divBdr>
                <w:top w:val="none" w:sz="0" w:space="0" w:color="auto"/>
                <w:left w:val="none" w:sz="0" w:space="0" w:color="auto"/>
                <w:bottom w:val="none" w:sz="0" w:space="0" w:color="auto"/>
                <w:right w:val="none" w:sz="0" w:space="0" w:color="auto"/>
              </w:divBdr>
              <w:divsChild>
                <w:div w:id="8665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60844">
      <w:bodyDiv w:val="1"/>
      <w:marLeft w:val="0"/>
      <w:marRight w:val="0"/>
      <w:marTop w:val="0"/>
      <w:marBottom w:val="0"/>
      <w:divBdr>
        <w:top w:val="none" w:sz="0" w:space="0" w:color="auto"/>
        <w:left w:val="none" w:sz="0" w:space="0" w:color="auto"/>
        <w:bottom w:val="none" w:sz="0" w:space="0" w:color="auto"/>
        <w:right w:val="none" w:sz="0" w:space="0" w:color="auto"/>
      </w:divBdr>
      <w:divsChild>
        <w:div w:id="2003774930">
          <w:marLeft w:val="0"/>
          <w:marRight w:val="0"/>
          <w:marTop w:val="0"/>
          <w:marBottom w:val="0"/>
          <w:divBdr>
            <w:top w:val="single" w:sz="6" w:space="1" w:color="CCCCCC"/>
            <w:left w:val="single" w:sz="6" w:space="1" w:color="CCCCCC"/>
            <w:bottom w:val="single" w:sz="6" w:space="1" w:color="CCCCCC"/>
            <w:right w:val="single" w:sz="6" w:space="1" w:color="CCCCCC"/>
          </w:divBdr>
          <w:divsChild>
            <w:div w:id="2142964643">
              <w:marLeft w:val="0"/>
              <w:marRight w:val="0"/>
              <w:marTop w:val="0"/>
              <w:marBottom w:val="0"/>
              <w:divBdr>
                <w:top w:val="none" w:sz="0" w:space="0" w:color="auto"/>
                <w:left w:val="none" w:sz="0" w:space="0" w:color="auto"/>
                <w:bottom w:val="none" w:sz="0" w:space="0" w:color="auto"/>
                <w:right w:val="none" w:sz="0" w:space="0" w:color="auto"/>
              </w:divBdr>
              <w:divsChild>
                <w:div w:id="179466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625144">
      <w:bodyDiv w:val="1"/>
      <w:marLeft w:val="0"/>
      <w:marRight w:val="0"/>
      <w:marTop w:val="0"/>
      <w:marBottom w:val="0"/>
      <w:divBdr>
        <w:top w:val="none" w:sz="0" w:space="0" w:color="auto"/>
        <w:left w:val="none" w:sz="0" w:space="0" w:color="auto"/>
        <w:bottom w:val="none" w:sz="0" w:space="0" w:color="auto"/>
        <w:right w:val="none" w:sz="0" w:space="0" w:color="auto"/>
      </w:divBdr>
      <w:divsChild>
        <w:div w:id="1825316142">
          <w:marLeft w:val="0"/>
          <w:marRight w:val="0"/>
          <w:marTop w:val="0"/>
          <w:marBottom w:val="0"/>
          <w:divBdr>
            <w:top w:val="single" w:sz="6" w:space="1" w:color="CCCCCC"/>
            <w:left w:val="single" w:sz="6" w:space="1" w:color="CCCCCC"/>
            <w:bottom w:val="single" w:sz="6" w:space="1" w:color="CCCCCC"/>
            <w:right w:val="single" w:sz="6" w:space="1" w:color="CCCCCC"/>
          </w:divBdr>
          <w:divsChild>
            <w:div w:id="845636871">
              <w:marLeft w:val="0"/>
              <w:marRight w:val="0"/>
              <w:marTop w:val="0"/>
              <w:marBottom w:val="0"/>
              <w:divBdr>
                <w:top w:val="none" w:sz="0" w:space="0" w:color="auto"/>
                <w:left w:val="none" w:sz="0" w:space="0" w:color="auto"/>
                <w:bottom w:val="none" w:sz="0" w:space="0" w:color="auto"/>
                <w:right w:val="none" w:sz="0" w:space="0" w:color="auto"/>
              </w:divBdr>
              <w:divsChild>
                <w:div w:id="12279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87601">
      <w:bodyDiv w:val="1"/>
      <w:marLeft w:val="0"/>
      <w:marRight w:val="0"/>
      <w:marTop w:val="0"/>
      <w:marBottom w:val="0"/>
      <w:divBdr>
        <w:top w:val="none" w:sz="0" w:space="0" w:color="auto"/>
        <w:left w:val="none" w:sz="0" w:space="0" w:color="auto"/>
        <w:bottom w:val="none" w:sz="0" w:space="0" w:color="auto"/>
        <w:right w:val="none" w:sz="0" w:space="0" w:color="auto"/>
      </w:divBdr>
      <w:divsChild>
        <w:div w:id="866020993">
          <w:marLeft w:val="0"/>
          <w:marRight w:val="0"/>
          <w:marTop w:val="0"/>
          <w:marBottom w:val="0"/>
          <w:divBdr>
            <w:top w:val="none" w:sz="0" w:space="0" w:color="auto"/>
            <w:left w:val="none" w:sz="0" w:space="0" w:color="auto"/>
            <w:bottom w:val="none" w:sz="0" w:space="0" w:color="auto"/>
            <w:right w:val="none" w:sz="0" w:space="0" w:color="auto"/>
          </w:divBdr>
          <w:divsChild>
            <w:div w:id="4573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57C06-8F31-47E2-B79D-3AD6F2016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8</Pages>
  <Words>3149</Words>
  <Characters>18939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163, Part II</vt:lpstr>
    </vt:vector>
  </TitlesOfParts>
  <Company>State of Florida</Company>
  <LinksUpToDate>false</LinksUpToDate>
  <CharactersWithSpaces>22044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163, Part II</dc:title>
  <dc:subject/>
  <dc:creator>gilreath.debbie</dc:creator>
  <cp:keywords/>
  <dc:description/>
  <cp:lastModifiedBy>GILREATH.DEBBIE</cp:lastModifiedBy>
  <cp:revision>7</cp:revision>
  <cp:lastPrinted>2009-10-27T20:16:00Z</cp:lastPrinted>
  <dcterms:created xsi:type="dcterms:W3CDTF">2009-10-27T19:36:00Z</dcterms:created>
  <dcterms:modified xsi:type="dcterms:W3CDTF">2009-10-28T12:35:00Z</dcterms:modified>
</cp:coreProperties>
</file>