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FE" w:rsidRDefault="00F803AE" w:rsidP="00DA15D3">
      <w:pPr>
        <w:pStyle w:val="bodytext"/>
        <w:spacing w:before="120"/>
        <w:jc w:val="center"/>
        <w:rPr>
          <w:rFonts w:ascii="Arial Black" w:hAnsi="Arial Black"/>
          <w:b/>
          <w:i/>
          <w:sz w:val="24"/>
          <w:szCs w:val="24"/>
        </w:rPr>
      </w:pPr>
      <w:r>
        <w:rPr>
          <w:rFonts w:ascii="Arial Black" w:hAnsi="Arial Black"/>
          <w:b/>
          <w:i/>
          <w:sz w:val="24"/>
          <w:szCs w:val="24"/>
        </w:rPr>
        <w:t>Department of Community Affairs</w:t>
      </w:r>
      <w:r w:rsidR="00DA15D3">
        <w:rPr>
          <w:rFonts w:ascii="Arial Black" w:hAnsi="Arial Black"/>
          <w:b/>
          <w:i/>
          <w:sz w:val="24"/>
          <w:szCs w:val="24"/>
        </w:rPr>
        <w:br/>
      </w:r>
      <w:r w:rsidR="00401DE9">
        <w:rPr>
          <w:rFonts w:ascii="Arial Black" w:hAnsi="Arial Black"/>
          <w:b/>
          <w:i/>
          <w:sz w:val="24"/>
          <w:szCs w:val="24"/>
        </w:rPr>
        <w:t xml:space="preserve">Manufactured Buildings </w:t>
      </w:r>
    </w:p>
    <w:p w:rsidR="00F803AE" w:rsidRDefault="00F803AE" w:rsidP="00DA15D3">
      <w:pPr>
        <w:pStyle w:val="bodytext"/>
        <w:spacing w:before="120"/>
        <w:jc w:val="center"/>
        <w:rPr>
          <w:rFonts w:ascii="Arial Black" w:hAnsi="Arial Black"/>
          <w:b/>
          <w:i/>
          <w:sz w:val="24"/>
          <w:szCs w:val="24"/>
        </w:rPr>
      </w:pPr>
    </w:p>
    <w:p w:rsidR="00F803AE" w:rsidRDefault="00F803AE" w:rsidP="001D0414">
      <w:pPr>
        <w:pStyle w:val="bodytext"/>
        <w:spacing w:before="120"/>
        <w:jc w:val="left"/>
        <w:rPr>
          <w:rFonts w:ascii="Arial Black" w:hAnsi="Arial Black"/>
          <w:b/>
          <w:i/>
          <w:sz w:val="24"/>
          <w:szCs w:val="24"/>
        </w:rPr>
      </w:pPr>
      <w:r>
        <w:rPr>
          <w:rFonts w:ascii="Arial Black" w:hAnsi="Arial Black"/>
          <w:b/>
          <w:i/>
          <w:sz w:val="24"/>
          <w:szCs w:val="24"/>
        </w:rPr>
        <w:t>Policy Issue</w:t>
      </w:r>
    </w:p>
    <w:p w:rsidR="00F803AE" w:rsidRDefault="00F803AE" w:rsidP="001D0414">
      <w:pPr>
        <w:pStyle w:val="bodytext"/>
        <w:spacing w:before="120"/>
        <w:jc w:val="left"/>
      </w:pPr>
      <w:r>
        <w:t xml:space="preserve">Should </w:t>
      </w:r>
      <w:r w:rsidR="00DE6CA4">
        <w:t>there be one state agency that is in charge of ensuring a home is built to standard</w:t>
      </w:r>
      <w:r>
        <w:t>?</w:t>
      </w:r>
    </w:p>
    <w:p w:rsidR="00F803AE" w:rsidRPr="00906FB6" w:rsidRDefault="00F803AE" w:rsidP="001D0414">
      <w:pPr>
        <w:pStyle w:val="bodytext"/>
        <w:spacing w:before="120"/>
        <w:jc w:val="left"/>
        <w:rPr>
          <w:rFonts w:ascii="Arial Black" w:hAnsi="Arial Black"/>
          <w:b/>
          <w:i/>
          <w:sz w:val="24"/>
          <w:szCs w:val="24"/>
        </w:rPr>
      </w:pPr>
      <w:r w:rsidRPr="00906FB6">
        <w:rPr>
          <w:rFonts w:ascii="Arial Black" w:hAnsi="Arial Black"/>
          <w:b/>
          <w:i/>
          <w:sz w:val="24"/>
          <w:szCs w:val="24"/>
        </w:rPr>
        <w:t>Background</w:t>
      </w:r>
    </w:p>
    <w:p w:rsidR="00F241C3" w:rsidRDefault="0009732B" w:rsidP="001D0414">
      <w:pPr>
        <w:pStyle w:val="bodytext"/>
        <w:spacing w:before="120"/>
        <w:jc w:val="left"/>
      </w:pPr>
      <w:r>
        <w:t xml:space="preserve">Currently, Florida has three state agencies that are charged with making sure homes are constructed to the proper standards.  </w:t>
      </w:r>
    </w:p>
    <w:p w:rsidR="00814400" w:rsidRPr="002F55AF" w:rsidRDefault="00315C49" w:rsidP="00814400">
      <w:pPr>
        <w:pStyle w:val="bodytext"/>
        <w:numPr>
          <w:ilvl w:val="0"/>
          <w:numId w:val="15"/>
        </w:numPr>
        <w:spacing w:before="120"/>
        <w:jc w:val="left"/>
      </w:pPr>
      <w:r>
        <w:t>Department of Community Affairs (</w:t>
      </w:r>
      <w:r w:rsidR="00814400" w:rsidRPr="00A4561F">
        <w:t>DCA</w:t>
      </w:r>
      <w:r>
        <w:t>)</w:t>
      </w:r>
      <w:r w:rsidR="00814400" w:rsidRPr="00A4561F">
        <w:t xml:space="preserve"> administers a state program that oversees </w:t>
      </w:r>
      <w:r w:rsidR="002F55AF" w:rsidRPr="00315C49">
        <w:t>manufactured</w:t>
      </w:r>
      <w:r w:rsidR="002F55AF">
        <w:t xml:space="preserve"> or </w:t>
      </w:r>
      <w:r w:rsidR="002F55AF">
        <w:rPr>
          <w:b/>
        </w:rPr>
        <w:t>modular</w:t>
      </w:r>
      <w:r w:rsidR="00814400" w:rsidRPr="00B960C6">
        <w:rPr>
          <w:b/>
        </w:rPr>
        <w:t xml:space="preserve"> buildings</w:t>
      </w:r>
      <w:r w:rsidR="002F55AF">
        <w:rPr>
          <w:b/>
        </w:rPr>
        <w:t xml:space="preserve">, </w:t>
      </w:r>
      <w:r w:rsidR="002F55AF" w:rsidRPr="002F55AF">
        <w:t>both residential and commercial</w:t>
      </w:r>
      <w:r w:rsidR="00814400" w:rsidRPr="002F55AF">
        <w:t>;</w:t>
      </w:r>
    </w:p>
    <w:p w:rsidR="00814400" w:rsidRPr="00315C49" w:rsidRDefault="00814400" w:rsidP="00814400">
      <w:pPr>
        <w:pStyle w:val="bodytext"/>
        <w:numPr>
          <w:ilvl w:val="0"/>
          <w:numId w:val="15"/>
        </w:numPr>
        <w:spacing w:before="120"/>
        <w:jc w:val="left"/>
      </w:pPr>
      <w:r w:rsidRPr="00A4561F">
        <w:t xml:space="preserve">Department of Highway Safety and Motor Vehicles (DHSMV) operates a federal program for </w:t>
      </w:r>
      <w:r w:rsidRPr="00B960C6">
        <w:rPr>
          <w:b/>
        </w:rPr>
        <w:t>mobile homes (</w:t>
      </w:r>
      <w:r w:rsidRPr="00A4561F">
        <w:t xml:space="preserve">also referred </w:t>
      </w:r>
      <w:r w:rsidRPr="00315C49">
        <w:t>to as manufactured homes); and</w:t>
      </w:r>
    </w:p>
    <w:p w:rsidR="00814400" w:rsidRPr="00A4561F" w:rsidRDefault="00814400" w:rsidP="00814400">
      <w:pPr>
        <w:pStyle w:val="bodytext"/>
        <w:numPr>
          <w:ilvl w:val="0"/>
          <w:numId w:val="15"/>
        </w:numPr>
        <w:spacing w:before="120"/>
        <w:jc w:val="left"/>
      </w:pPr>
      <w:r w:rsidRPr="00A4561F">
        <w:t>The Department of Business and Professional Regulation (DBPR) regulates the construction industry (</w:t>
      </w:r>
      <w:r w:rsidRPr="00B960C6">
        <w:rPr>
          <w:b/>
        </w:rPr>
        <w:t>site built homes</w:t>
      </w:r>
      <w:r w:rsidR="00B854C4">
        <w:t xml:space="preserve">) and building </w:t>
      </w:r>
      <w:r w:rsidR="001145CE">
        <w:t>code administrators and inspectors</w:t>
      </w:r>
      <w:r w:rsidRPr="00A4561F">
        <w:t xml:space="preserve">.  </w:t>
      </w:r>
    </w:p>
    <w:p w:rsidR="001D0414" w:rsidRPr="001D0414" w:rsidRDefault="001D0414" w:rsidP="001D0414">
      <w:pPr>
        <w:pStyle w:val="bodytext"/>
        <w:spacing w:before="120"/>
        <w:jc w:val="left"/>
        <w:rPr>
          <w:rFonts w:ascii="Arial Black" w:hAnsi="Arial Black"/>
          <w:sz w:val="20"/>
        </w:rPr>
      </w:pPr>
      <w:r w:rsidRPr="001D0414">
        <w:rPr>
          <w:rFonts w:ascii="Arial Black" w:hAnsi="Arial Black"/>
          <w:sz w:val="20"/>
        </w:rPr>
        <w:t>Department of Community Affairs</w:t>
      </w:r>
    </w:p>
    <w:p w:rsidR="00A823BF" w:rsidRDefault="00EB28CC" w:rsidP="00A4561F">
      <w:pPr>
        <w:pStyle w:val="bodytext"/>
        <w:spacing w:before="120"/>
        <w:jc w:val="left"/>
      </w:pPr>
      <w:r w:rsidRPr="00EB28CC">
        <w:t xml:space="preserve">The Manufactured Building Program </w:t>
      </w:r>
      <w:r w:rsidR="0009732B">
        <w:t>is a</w:t>
      </w:r>
      <w:r w:rsidR="00A823BF">
        <w:t xml:space="preserve"> </w:t>
      </w:r>
      <w:r w:rsidR="00362711">
        <w:t xml:space="preserve">state </w:t>
      </w:r>
      <w:r w:rsidR="00A823BF">
        <w:t xml:space="preserve">program </w:t>
      </w:r>
      <w:r w:rsidR="0009732B">
        <w:t xml:space="preserve">that </w:t>
      </w:r>
      <w:r w:rsidRPr="00EB28CC">
        <w:t>oversees construction plans, specifications, and quality control procedures</w:t>
      </w:r>
      <w:r w:rsidR="00A4561F">
        <w:t xml:space="preserve"> for </w:t>
      </w:r>
      <w:r w:rsidR="00315C49">
        <w:rPr>
          <w:b/>
        </w:rPr>
        <w:t>modular</w:t>
      </w:r>
      <w:r w:rsidR="00F241C3" w:rsidRPr="00A4561F">
        <w:rPr>
          <w:b/>
        </w:rPr>
        <w:t xml:space="preserve"> buildings</w:t>
      </w:r>
      <w:r w:rsidR="002F55AF">
        <w:t xml:space="preserve">. </w:t>
      </w:r>
      <w:r w:rsidR="00A4561F">
        <w:t xml:space="preserve"> </w:t>
      </w:r>
      <w:r w:rsidR="00315C49">
        <w:t>Modular</w:t>
      </w:r>
      <w:r w:rsidR="00F241C3" w:rsidRPr="00A4561F">
        <w:t xml:space="preserve"> buildings </w:t>
      </w:r>
      <w:r w:rsidR="00F241C3" w:rsidRPr="0009732B">
        <w:t xml:space="preserve">are designed, built, permitted and inspected to the </w:t>
      </w:r>
      <w:r w:rsidR="00B47E3A">
        <w:t>F</w:t>
      </w:r>
      <w:r w:rsidR="00B47E3A" w:rsidRPr="0009732B">
        <w:t>l</w:t>
      </w:r>
      <w:r w:rsidR="00B47E3A">
        <w:t>orida</w:t>
      </w:r>
      <w:r w:rsidR="00F241C3">
        <w:t xml:space="preserve"> </w:t>
      </w:r>
      <w:r w:rsidR="00315C49">
        <w:t>Building Code</w:t>
      </w:r>
      <w:r w:rsidR="00F241C3" w:rsidRPr="00A1218B">
        <w:t>, and must be installed on permanent foundations (e.g., poured footers, stem walls &amp; poured piers or engineered slabs, just like site built homes)</w:t>
      </w:r>
      <w:r w:rsidR="00A4561F">
        <w:t>.</w:t>
      </w:r>
      <w:r w:rsidR="00F241C3">
        <w:t xml:space="preserve"> </w:t>
      </w:r>
      <w:r w:rsidR="00A823BF" w:rsidRPr="00A823BF">
        <w:t xml:space="preserve">The DCA has delegated the responsibility for inspection of </w:t>
      </w:r>
      <w:r w:rsidR="00315C49">
        <w:t>modular</w:t>
      </w:r>
      <w:r w:rsidR="00A823BF" w:rsidRPr="00A823BF">
        <w:t xml:space="preserve"> </w:t>
      </w:r>
      <w:r w:rsidR="002F55AF">
        <w:t>buildings</w:t>
      </w:r>
      <w:r w:rsidR="00A823BF" w:rsidRPr="00A823BF">
        <w:t xml:space="preserve"> to third-party </w:t>
      </w:r>
      <w:r w:rsidR="00CD0DAC">
        <w:t>entities</w:t>
      </w:r>
      <w:r w:rsidR="00A823BF" w:rsidRPr="00A823BF">
        <w:t xml:space="preserve"> that have been </w:t>
      </w:r>
      <w:r w:rsidR="00CD0DAC">
        <w:t xml:space="preserve">authorized by an appropriate licensing board and </w:t>
      </w:r>
      <w:r w:rsidR="00A823BF" w:rsidRPr="00A823BF">
        <w:t xml:space="preserve">certified by the DCA for that purpose. </w:t>
      </w:r>
      <w:r w:rsidR="00362711">
        <w:t xml:space="preserve"> </w:t>
      </w:r>
      <w:r w:rsidR="00E13171">
        <w:t>The manufacturer contracts directly with the third-party entity and u</w:t>
      </w:r>
      <w:r w:rsidR="007C72AF">
        <w:t xml:space="preserve">pon passing inspection an insignia is attached to the building or </w:t>
      </w:r>
      <w:r w:rsidR="00315C49">
        <w:t xml:space="preserve">building </w:t>
      </w:r>
      <w:r w:rsidR="007C72AF">
        <w:t xml:space="preserve">component indicating approval.  </w:t>
      </w:r>
      <w:r w:rsidR="00FE1739" w:rsidRPr="00A823BF">
        <w:t>Additionally, DCA requires that the operation of manufacturing facilities is subject to a quality assurance program</w:t>
      </w:r>
      <w:r w:rsidR="00E13171">
        <w:t xml:space="preserve"> and contracts with a third-party entity for this purpose.  T</w:t>
      </w:r>
      <w:r w:rsidR="00FE1739" w:rsidRPr="00A823BF">
        <w:t xml:space="preserve">he activities of manufacturers are </w:t>
      </w:r>
      <w:r w:rsidR="00E13171">
        <w:t xml:space="preserve">also </w:t>
      </w:r>
      <w:r w:rsidR="00FE1739" w:rsidRPr="00A823BF">
        <w:t xml:space="preserve">subject to audit by </w:t>
      </w:r>
      <w:r w:rsidR="00315C49">
        <w:t>DCA’s</w:t>
      </w:r>
      <w:r w:rsidR="00FE1739" w:rsidRPr="00A823BF">
        <w:t xml:space="preserve"> contractor. </w:t>
      </w:r>
      <w:r w:rsidR="00FE1739">
        <w:t xml:space="preserve"> </w:t>
      </w:r>
      <w:r w:rsidR="00362711" w:rsidRPr="00362711">
        <w:t>DCA also oversees the Florida Prototype Building Program, which provides a standardized plan review process for buildings that are replicated throughout the state</w:t>
      </w:r>
      <w:r w:rsidR="00A4561F">
        <w:t>.</w:t>
      </w:r>
      <w:r w:rsidR="00FE1739">
        <w:t xml:space="preserve">  Installers of </w:t>
      </w:r>
      <w:r w:rsidR="00315C49">
        <w:t>modular</w:t>
      </w:r>
      <w:r w:rsidR="002F55AF">
        <w:t xml:space="preserve"> </w:t>
      </w:r>
      <w:r w:rsidR="00184F9F">
        <w:t>buildings are</w:t>
      </w:r>
      <w:r w:rsidR="00FE1739">
        <w:t xml:space="preserve"> </w:t>
      </w:r>
      <w:r w:rsidR="000B784C">
        <w:t xml:space="preserve">general contractors </w:t>
      </w:r>
      <w:r w:rsidR="00FE1739">
        <w:t>licensed by DBPR.</w:t>
      </w:r>
    </w:p>
    <w:p w:rsidR="00502CFE" w:rsidRPr="001D0414" w:rsidRDefault="001D0414" w:rsidP="00A823BF">
      <w:pPr>
        <w:pStyle w:val="bodytext"/>
        <w:spacing w:before="120"/>
        <w:rPr>
          <w:rFonts w:ascii="Arial Black" w:hAnsi="Arial Black"/>
          <w:sz w:val="20"/>
        </w:rPr>
      </w:pPr>
      <w:r w:rsidRPr="001D0414">
        <w:rPr>
          <w:rFonts w:ascii="Arial Black" w:hAnsi="Arial Black"/>
          <w:sz w:val="20"/>
        </w:rPr>
        <w:t xml:space="preserve">Department of Highway Safety and Motor </w:t>
      </w:r>
      <w:r>
        <w:rPr>
          <w:rFonts w:ascii="Arial Black" w:hAnsi="Arial Black"/>
          <w:sz w:val="20"/>
        </w:rPr>
        <w:t>Vehicles</w:t>
      </w:r>
    </w:p>
    <w:p w:rsidR="000D78D8" w:rsidRDefault="00A4561F" w:rsidP="00861F8D">
      <w:pPr>
        <w:pStyle w:val="bodytext"/>
      </w:pPr>
      <w:r>
        <w:t>T</w:t>
      </w:r>
      <w:r w:rsidR="00833275" w:rsidRPr="00800B2C">
        <w:t xml:space="preserve">he </w:t>
      </w:r>
      <w:r w:rsidR="00833275" w:rsidRPr="00F64B95">
        <w:t>Mobile Home Compliance and Enforcement Program</w:t>
      </w:r>
      <w:r w:rsidR="00833275" w:rsidRPr="00465C2E">
        <w:t xml:space="preserve"> monitors mobile home manufacturer</w:t>
      </w:r>
      <w:r w:rsidR="00E469F9">
        <w:t>s.</w:t>
      </w:r>
      <w:r w:rsidR="00E469F9" w:rsidRPr="00E469F9">
        <w:rPr>
          <w:bCs/>
        </w:rPr>
        <w:t xml:space="preserve"> </w:t>
      </w:r>
      <w:r w:rsidR="00E469F9" w:rsidRPr="00E469F9">
        <w:rPr>
          <w:b/>
          <w:bCs/>
        </w:rPr>
        <w:t>Mobile homes</w:t>
      </w:r>
      <w:r w:rsidR="00E469F9" w:rsidRPr="0009732B">
        <w:rPr>
          <w:bCs/>
        </w:rPr>
        <w:t>,</w:t>
      </w:r>
      <w:r w:rsidR="00E469F9">
        <w:rPr>
          <w:b/>
          <w:bCs/>
        </w:rPr>
        <w:t xml:space="preserve"> </w:t>
      </w:r>
      <w:r w:rsidR="002F55AF">
        <w:rPr>
          <w:bCs/>
        </w:rPr>
        <w:t xml:space="preserve">referred to </w:t>
      </w:r>
      <w:r w:rsidR="002F55AF" w:rsidRPr="00315C49">
        <w:rPr>
          <w:bCs/>
        </w:rPr>
        <w:t xml:space="preserve">as </w:t>
      </w:r>
      <w:r w:rsidR="00E469F9" w:rsidRPr="00315C49">
        <w:t xml:space="preserve"> manufactured homes</w:t>
      </w:r>
      <w:r w:rsidR="00CD0DAC" w:rsidRPr="00315C49">
        <w:t xml:space="preserve"> if fabricated</w:t>
      </w:r>
      <w:r w:rsidR="00CD0DAC" w:rsidRPr="00CD0DAC">
        <w:t xml:space="preserve"> after June 15, 1976</w:t>
      </w:r>
      <w:r w:rsidR="00E469F9" w:rsidRPr="00CD0DAC">
        <w:t>,</w:t>
      </w:r>
      <w:r w:rsidR="00E469F9" w:rsidRPr="00A1218B">
        <w:t xml:space="preserve"> are built to the </w:t>
      </w:r>
      <w:r w:rsidR="00E846B5">
        <w:t>United States</w:t>
      </w:r>
      <w:r w:rsidR="00E469F9" w:rsidRPr="00A1218B">
        <w:t xml:space="preserve"> Department of Housing and Urban Development (HUD) standards; are usually installed on temporary foundations (concrete pads, dry-stacked blocks and tie-downs); and are usually not considered real property. </w:t>
      </w:r>
      <w:r w:rsidR="00E469F9" w:rsidRPr="00800B2C">
        <w:t xml:space="preserve">Under a contract with </w:t>
      </w:r>
      <w:r w:rsidR="00E469F9">
        <w:t>HUD</w:t>
      </w:r>
      <w:r w:rsidR="00E469F9" w:rsidRPr="00800B2C">
        <w:t xml:space="preserve">, </w:t>
      </w:r>
      <w:r w:rsidR="00E469F9">
        <w:t xml:space="preserve">DHSMV monitors </w:t>
      </w:r>
      <w:r w:rsidR="00833275" w:rsidRPr="00465C2E">
        <w:t>compliance with federal mobile home building code standards and investigates and resolves consumer complain</w:t>
      </w:r>
      <w:r w:rsidR="00833275" w:rsidRPr="00800B2C">
        <w:t xml:space="preserve">ts.  </w:t>
      </w:r>
      <w:r w:rsidR="00392136">
        <w:t>U</w:t>
      </w:r>
      <w:r w:rsidR="00E469F9" w:rsidRPr="00CD4EEA">
        <w:t>nder a state plan app</w:t>
      </w:r>
      <w:r w:rsidR="00392136">
        <w:t xml:space="preserve">roved by the federal government, </w:t>
      </w:r>
      <w:r w:rsidR="00315C49">
        <w:t>DHSMV</w:t>
      </w:r>
      <w:r w:rsidR="00392136">
        <w:t xml:space="preserve"> </w:t>
      </w:r>
      <w:r w:rsidR="00E469F9" w:rsidRPr="00CD4EEA">
        <w:t xml:space="preserve">monitors mobile home dealer lots and approves all alterations made by retailers to provide consumer protection and assurance of manufactured home </w:t>
      </w:r>
      <w:r w:rsidR="001145CE">
        <w:t xml:space="preserve">safety.  </w:t>
      </w:r>
      <w:r w:rsidR="000B784C">
        <w:t>DHSMV</w:t>
      </w:r>
      <w:r w:rsidR="001145CE">
        <w:t xml:space="preserve"> evaluate</w:t>
      </w:r>
      <w:r w:rsidR="000B784C">
        <w:t>s</w:t>
      </w:r>
      <w:r w:rsidR="00E469F9" w:rsidRPr="00CD4EEA">
        <w:t xml:space="preserve"> the ability of mobile home manufacturing plants to follow approved quality</w:t>
      </w:r>
      <w:r w:rsidR="001145CE">
        <w:t xml:space="preserve"> control procedures and provide</w:t>
      </w:r>
      <w:r w:rsidR="000B784C">
        <w:t>s</w:t>
      </w:r>
      <w:r w:rsidR="00E469F9" w:rsidRPr="00CD4EEA">
        <w:t xml:space="preserve"> ongoing surveillance to ensure that manufacturing processes comply with approved plans.  </w:t>
      </w:r>
      <w:r w:rsidR="00861F8D" w:rsidRPr="00861F8D">
        <w:t xml:space="preserve">When each home section has been completed </w:t>
      </w:r>
      <w:r w:rsidR="00861F8D" w:rsidRPr="00861F8D">
        <w:lastRenderedPageBreak/>
        <w:t>and passes final inspection, a HUD label is</w:t>
      </w:r>
      <w:r w:rsidR="00861F8D">
        <w:t xml:space="preserve"> </w:t>
      </w:r>
      <w:r w:rsidR="00861F8D" w:rsidRPr="00861F8D">
        <w:t xml:space="preserve">affixed to the home section attesting the home meets the HUD Code. </w:t>
      </w:r>
      <w:r w:rsidR="009A73A2">
        <w:rPr>
          <w:szCs w:val="24"/>
        </w:rPr>
        <w:t>Unlike DCA,</w:t>
      </w:r>
      <w:r w:rsidR="009A73A2" w:rsidRPr="00CD4EEA">
        <w:rPr>
          <w:szCs w:val="24"/>
        </w:rPr>
        <w:t xml:space="preserve"> the Mobile Home Compliance and Enforcement Program </w:t>
      </w:r>
      <w:r w:rsidR="00B47E3A" w:rsidRPr="00CD4EEA">
        <w:rPr>
          <w:szCs w:val="24"/>
        </w:rPr>
        <w:t>do</w:t>
      </w:r>
      <w:r w:rsidR="0098329B">
        <w:rPr>
          <w:szCs w:val="24"/>
        </w:rPr>
        <w:t>es</w:t>
      </w:r>
      <w:r w:rsidR="00B47E3A" w:rsidRPr="00CD4EEA">
        <w:rPr>
          <w:szCs w:val="24"/>
        </w:rPr>
        <w:t xml:space="preserve"> inspections</w:t>
      </w:r>
      <w:r w:rsidR="009A73A2" w:rsidRPr="00CD4EEA">
        <w:rPr>
          <w:szCs w:val="24"/>
        </w:rPr>
        <w:t xml:space="preserve"> with state employees.  </w:t>
      </w:r>
      <w:r w:rsidR="000B784C">
        <w:t>DHSMV</w:t>
      </w:r>
      <w:r w:rsidR="00B47E3A">
        <w:rPr>
          <w:snapToGrid w:val="0"/>
        </w:rPr>
        <w:t xml:space="preserve"> also license</w:t>
      </w:r>
      <w:r w:rsidR="000B784C">
        <w:rPr>
          <w:snapToGrid w:val="0"/>
        </w:rPr>
        <w:t>s</w:t>
      </w:r>
      <w:r w:rsidR="00B47E3A" w:rsidRPr="00CD4EEA">
        <w:rPr>
          <w:snapToGrid w:val="0"/>
        </w:rPr>
        <w:t>, t</w:t>
      </w:r>
      <w:r w:rsidR="00B47E3A">
        <w:rPr>
          <w:snapToGrid w:val="0"/>
        </w:rPr>
        <w:t>est</w:t>
      </w:r>
      <w:r w:rsidR="000B784C">
        <w:rPr>
          <w:snapToGrid w:val="0"/>
        </w:rPr>
        <w:t>s</w:t>
      </w:r>
      <w:r w:rsidR="00B47E3A">
        <w:rPr>
          <w:snapToGrid w:val="0"/>
        </w:rPr>
        <w:t>, and train</w:t>
      </w:r>
      <w:r w:rsidR="000B784C">
        <w:rPr>
          <w:snapToGrid w:val="0"/>
        </w:rPr>
        <w:t>s</w:t>
      </w:r>
      <w:r w:rsidR="00B47E3A" w:rsidRPr="00CD4EEA">
        <w:rPr>
          <w:snapToGrid w:val="0"/>
        </w:rPr>
        <w:t xml:space="preserve"> mobile home installers</w:t>
      </w:r>
      <w:r w:rsidR="00B47E3A">
        <w:rPr>
          <w:snapToGrid w:val="0"/>
        </w:rPr>
        <w:t>.</w:t>
      </w:r>
      <w:r w:rsidR="00B47E3A" w:rsidRPr="00CD4EEA">
        <w:rPr>
          <w:snapToGrid w:val="0"/>
        </w:rPr>
        <w:t xml:space="preserve"> </w:t>
      </w:r>
      <w:r w:rsidR="00E469F9">
        <w:rPr>
          <w:rStyle w:val="FootnoteReference"/>
        </w:rPr>
        <w:footnoteReference w:id="1"/>
      </w:r>
      <w:r w:rsidR="00315C49">
        <w:t xml:space="preserve"> </w:t>
      </w:r>
      <w:r w:rsidR="00833275" w:rsidRPr="00C27E05">
        <w:t xml:space="preserve"> In addition, the program administers the state warranty</w:t>
      </w:r>
      <w:r w:rsidR="00833275">
        <w:t xml:space="preserve"> program.  </w:t>
      </w:r>
      <w:r w:rsidR="000D78D8">
        <w:t xml:space="preserve"> </w:t>
      </w:r>
      <w:r w:rsidR="000D78D8" w:rsidRPr="00CD4EEA">
        <w:t xml:space="preserve"> </w:t>
      </w:r>
    </w:p>
    <w:p w:rsidR="001D0414" w:rsidRPr="001D0414" w:rsidRDefault="001D0414" w:rsidP="001D0414">
      <w:pPr>
        <w:pStyle w:val="bodytext"/>
        <w:spacing w:before="120"/>
        <w:jc w:val="left"/>
        <w:rPr>
          <w:rFonts w:ascii="Arial Black" w:hAnsi="Arial Black"/>
          <w:sz w:val="20"/>
        </w:rPr>
      </w:pPr>
      <w:r w:rsidRPr="001D0414">
        <w:rPr>
          <w:rFonts w:ascii="Arial Black" w:hAnsi="Arial Black"/>
          <w:sz w:val="20"/>
        </w:rPr>
        <w:t xml:space="preserve">Department of Business and Professional Regulation </w:t>
      </w:r>
    </w:p>
    <w:p w:rsidR="001D0414" w:rsidRPr="00A823BF" w:rsidRDefault="00893D96" w:rsidP="001D0414">
      <w:pPr>
        <w:pStyle w:val="bodytext"/>
        <w:jc w:val="left"/>
      </w:pPr>
      <w:r>
        <w:rPr>
          <w:szCs w:val="22"/>
        </w:rPr>
        <w:t xml:space="preserve">Site built homes are regulated by the state in two ways:  licensing of the construction industry and licensing of local building inspectors.  </w:t>
      </w:r>
      <w:r w:rsidR="00343161">
        <w:rPr>
          <w:szCs w:val="22"/>
        </w:rPr>
        <w:t>The Florida construction industry is regulated by DBPR through the Construction Industry Licensing Board</w:t>
      </w:r>
      <w:r w:rsidR="00392136">
        <w:rPr>
          <w:szCs w:val="22"/>
        </w:rPr>
        <w:t xml:space="preserve"> (CILB)</w:t>
      </w:r>
      <w:r w:rsidR="00343161">
        <w:rPr>
          <w:szCs w:val="22"/>
        </w:rPr>
        <w:t>, with the goal of protecting public health, safety, and welfare by licensing contractors. Local governments also have authority to license and regulate contractors within their jurisdictions.  S</w:t>
      </w:r>
      <w:r w:rsidR="00343161" w:rsidRPr="00343161">
        <w:rPr>
          <w:szCs w:val="22"/>
        </w:rPr>
        <w:t>tate law requires that certain construction professionals be licensed, meet minimal standards, complete annual continuing education requirements, and renew licenses biennially.</w:t>
      </w:r>
      <w:r w:rsidR="00343161">
        <w:rPr>
          <w:szCs w:val="22"/>
        </w:rPr>
        <w:t xml:space="preserve">  DBPR also regulates building code administrators and inspectors</w:t>
      </w:r>
      <w:r w:rsidR="00401DE9">
        <w:rPr>
          <w:szCs w:val="22"/>
        </w:rPr>
        <w:t xml:space="preserve"> through the Building Code Administrat</w:t>
      </w:r>
      <w:r w:rsidR="003D1AAD">
        <w:rPr>
          <w:szCs w:val="22"/>
        </w:rPr>
        <w:t>ors and Inspectors Board</w:t>
      </w:r>
      <w:r w:rsidR="002F55AF">
        <w:rPr>
          <w:szCs w:val="22"/>
        </w:rPr>
        <w:t xml:space="preserve"> (BCAIB)</w:t>
      </w:r>
      <w:r w:rsidR="001B3E03">
        <w:rPr>
          <w:szCs w:val="22"/>
        </w:rPr>
        <w:t>, whose charge is to ensure buildings are built to code</w:t>
      </w:r>
      <w:r w:rsidR="00343161">
        <w:rPr>
          <w:szCs w:val="22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74"/>
        <w:gridCol w:w="2574"/>
        <w:gridCol w:w="2574"/>
        <w:gridCol w:w="2574"/>
      </w:tblGrid>
      <w:tr w:rsidR="00DE6CA4" w:rsidRPr="00B246D1" w:rsidTr="001145CE">
        <w:tc>
          <w:tcPr>
            <w:tcW w:w="2574" w:type="dxa"/>
          </w:tcPr>
          <w:p w:rsidR="00DE6CA4" w:rsidRPr="00B246D1" w:rsidRDefault="00A959B9" w:rsidP="001145CE">
            <w:pPr>
              <w:pStyle w:val="bodytext"/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2008-09</w:t>
            </w:r>
          </w:p>
        </w:tc>
        <w:tc>
          <w:tcPr>
            <w:tcW w:w="2574" w:type="dxa"/>
          </w:tcPr>
          <w:p w:rsidR="00DE6CA4" w:rsidRPr="00B246D1" w:rsidRDefault="00DE6CA4" w:rsidP="001145CE">
            <w:pPr>
              <w:pStyle w:val="bodytext"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B246D1">
              <w:rPr>
                <w:b/>
                <w:sz w:val="18"/>
                <w:szCs w:val="18"/>
              </w:rPr>
              <w:t>DCA</w:t>
            </w:r>
          </w:p>
        </w:tc>
        <w:tc>
          <w:tcPr>
            <w:tcW w:w="2574" w:type="dxa"/>
          </w:tcPr>
          <w:p w:rsidR="00DE6CA4" w:rsidRPr="00B246D1" w:rsidRDefault="00DE6CA4" w:rsidP="001145CE">
            <w:pPr>
              <w:pStyle w:val="bodytext"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B246D1">
              <w:rPr>
                <w:b/>
                <w:sz w:val="18"/>
                <w:szCs w:val="18"/>
              </w:rPr>
              <w:t>DHSMV</w:t>
            </w:r>
          </w:p>
        </w:tc>
        <w:tc>
          <w:tcPr>
            <w:tcW w:w="2574" w:type="dxa"/>
          </w:tcPr>
          <w:p w:rsidR="00DE6CA4" w:rsidRPr="00B246D1" w:rsidRDefault="00DE6CA4" w:rsidP="001145CE">
            <w:pPr>
              <w:pStyle w:val="bodytext"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B246D1">
              <w:rPr>
                <w:b/>
                <w:sz w:val="18"/>
                <w:szCs w:val="18"/>
              </w:rPr>
              <w:t>DBPR</w:t>
            </w:r>
          </w:p>
        </w:tc>
      </w:tr>
      <w:tr w:rsidR="00A959B9" w:rsidRPr="00B246D1" w:rsidTr="001145CE">
        <w:tc>
          <w:tcPr>
            <w:tcW w:w="2574" w:type="dxa"/>
          </w:tcPr>
          <w:p w:rsidR="00A959B9" w:rsidRPr="00B246D1" w:rsidRDefault="00A959B9" w:rsidP="001145CE">
            <w:pPr>
              <w:pStyle w:val="bodytext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Revenues</w:t>
            </w:r>
          </w:p>
        </w:tc>
        <w:tc>
          <w:tcPr>
            <w:tcW w:w="2574" w:type="dxa"/>
          </w:tcPr>
          <w:p w:rsidR="00A959B9" w:rsidRPr="00B246D1" w:rsidRDefault="009A73A2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$330,490</w:t>
            </w:r>
          </w:p>
        </w:tc>
        <w:tc>
          <w:tcPr>
            <w:tcW w:w="2574" w:type="dxa"/>
          </w:tcPr>
          <w:p w:rsidR="00A959B9" w:rsidRPr="00B246D1" w:rsidRDefault="00A959B9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$298,785</w:t>
            </w:r>
          </w:p>
        </w:tc>
        <w:tc>
          <w:tcPr>
            <w:tcW w:w="2574" w:type="dxa"/>
          </w:tcPr>
          <w:p w:rsidR="00A959B9" w:rsidRPr="001B3E03" w:rsidRDefault="001B3E03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 w:rsidRPr="001B3E03">
              <w:rPr>
                <w:sz w:val="18"/>
                <w:szCs w:val="18"/>
              </w:rPr>
              <w:t>CILB</w:t>
            </w:r>
            <w:r w:rsidR="00401DE9" w:rsidRPr="001B3E03">
              <w:rPr>
                <w:sz w:val="18"/>
                <w:szCs w:val="18"/>
              </w:rPr>
              <w:t xml:space="preserve">: </w:t>
            </w:r>
            <w:r w:rsidR="007532B3" w:rsidRPr="001B3E03">
              <w:rPr>
                <w:sz w:val="18"/>
                <w:szCs w:val="18"/>
              </w:rPr>
              <w:t>$15,864,050</w:t>
            </w:r>
          </w:p>
          <w:p w:rsidR="00401DE9" w:rsidRPr="001B3E03" w:rsidRDefault="001B3E03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 w:rsidRPr="001B3E03">
              <w:rPr>
                <w:sz w:val="18"/>
                <w:szCs w:val="18"/>
              </w:rPr>
              <w:t>BCAIB</w:t>
            </w:r>
            <w:r w:rsidR="00401DE9" w:rsidRPr="001B3E03">
              <w:rPr>
                <w:sz w:val="18"/>
                <w:szCs w:val="18"/>
              </w:rPr>
              <w:t>:</w:t>
            </w:r>
            <w:r w:rsidR="00D11537" w:rsidRPr="001B3E03">
              <w:rPr>
                <w:sz w:val="18"/>
                <w:szCs w:val="18"/>
              </w:rPr>
              <w:t xml:space="preserve"> $1,240,658</w:t>
            </w:r>
          </w:p>
        </w:tc>
      </w:tr>
      <w:tr w:rsidR="00A959B9" w:rsidRPr="00B246D1" w:rsidTr="001145CE">
        <w:tc>
          <w:tcPr>
            <w:tcW w:w="2574" w:type="dxa"/>
          </w:tcPr>
          <w:p w:rsidR="00A959B9" w:rsidRPr="00B246D1" w:rsidRDefault="00A959B9" w:rsidP="001145CE">
            <w:pPr>
              <w:pStyle w:val="bodytext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Expenditures</w:t>
            </w:r>
          </w:p>
        </w:tc>
        <w:tc>
          <w:tcPr>
            <w:tcW w:w="2574" w:type="dxa"/>
          </w:tcPr>
          <w:p w:rsidR="00A959B9" w:rsidRPr="00B246D1" w:rsidRDefault="009A73A2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$362,371</w:t>
            </w:r>
          </w:p>
        </w:tc>
        <w:tc>
          <w:tcPr>
            <w:tcW w:w="2574" w:type="dxa"/>
          </w:tcPr>
          <w:p w:rsidR="00A959B9" w:rsidRPr="00B246D1" w:rsidRDefault="00A959B9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$1,534,662</w:t>
            </w:r>
          </w:p>
        </w:tc>
        <w:tc>
          <w:tcPr>
            <w:tcW w:w="2574" w:type="dxa"/>
          </w:tcPr>
          <w:p w:rsidR="00A959B9" w:rsidRPr="001B3E03" w:rsidRDefault="001B3E03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 w:rsidRPr="001B3E03">
              <w:rPr>
                <w:sz w:val="18"/>
                <w:szCs w:val="18"/>
              </w:rPr>
              <w:t>CILB</w:t>
            </w:r>
            <w:r w:rsidR="003D1AAD" w:rsidRPr="001B3E03">
              <w:rPr>
                <w:sz w:val="18"/>
                <w:szCs w:val="18"/>
              </w:rPr>
              <w:t xml:space="preserve">: </w:t>
            </w:r>
            <w:r w:rsidR="007532B3" w:rsidRPr="001B3E03">
              <w:rPr>
                <w:sz w:val="18"/>
                <w:szCs w:val="18"/>
              </w:rPr>
              <w:t>$11,975,414</w:t>
            </w:r>
          </w:p>
          <w:p w:rsidR="003D1AAD" w:rsidRPr="001B3E03" w:rsidRDefault="001B3E03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 w:rsidRPr="001B3E03">
              <w:rPr>
                <w:sz w:val="18"/>
                <w:szCs w:val="18"/>
              </w:rPr>
              <w:t>BCAIB</w:t>
            </w:r>
            <w:r w:rsidR="003D1AAD" w:rsidRPr="001B3E03">
              <w:rPr>
                <w:sz w:val="18"/>
                <w:szCs w:val="18"/>
              </w:rPr>
              <w:t>:</w:t>
            </w:r>
            <w:r w:rsidR="00D11537" w:rsidRPr="001B3E03">
              <w:rPr>
                <w:sz w:val="18"/>
                <w:szCs w:val="18"/>
              </w:rPr>
              <w:t xml:space="preserve"> $1,036,162</w:t>
            </w:r>
          </w:p>
        </w:tc>
      </w:tr>
      <w:tr w:rsidR="00A959B9" w:rsidRPr="00B246D1" w:rsidTr="001145CE">
        <w:tc>
          <w:tcPr>
            <w:tcW w:w="2574" w:type="dxa"/>
          </w:tcPr>
          <w:p w:rsidR="00A959B9" w:rsidRPr="00B246D1" w:rsidRDefault="00A959B9" w:rsidP="001145CE">
            <w:pPr>
              <w:pStyle w:val="bodytext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FTE</w:t>
            </w:r>
          </w:p>
        </w:tc>
        <w:tc>
          <w:tcPr>
            <w:tcW w:w="2574" w:type="dxa"/>
          </w:tcPr>
          <w:p w:rsidR="00A959B9" w:rsidRDefault="009A73A2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74" w:type="dxa"/>
          </w:tcPr>
          <w:p w:rsidR="00A959B9" w:rsidRDefault="00A959B9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574" w:type="dxa"/>
          </w:tcPr>
          <w:p w:rsidR="00A959B9" w:rsidRPr="001B3E03" w:rsidRDefault="001B3E03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 w:rsidRPr="001B3E03">
              <w:rPr>
                <w:sz w:val="18"/>
                <w:szCs w:val="18"/>
              </w:rPr>
              <w:t>CILB</w:t>
            </w:r>
            <w:r w:rsidR="003D1AAD" w:rsidRPr="001B3E03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59</w:t>
            </w:r>
          </w:p>
          <w:p w:rsidR="003D1AAD" w:rsidRPr="001B3E03" w:rsidRDefault="001B3E03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 w:rsidRPr="001B3E03">
              <w:rPr>
                <w:sz w:val="18"/>
                <w:szCs w:val="18"/>
              </w:rPr>
              <w:t>BCAIB</w:t>
            </w:r>
            <w:r w:rsidR="003D1AAD" w:rsidRPr="001B3E03">
              <w:rPr>
                <w:sz w:val="18"/>
                <w:szCs w:val="18"/>
              </w:rPr>
              <w:t>: 5.8</w:t>
            </w:r>
          </w:p>
        </w:tc>
      </w:tr>
      <w:tr w:rsidR="00DE6CA4" w:rsidRPr="00B246D1" w:rsidTr="001145CE">
        <w:tc>
          <w:tcPr>
            <w:tcW w:w="2574" w:type="dxa"/>
          </w:tcPr>
          <w:p w:rsidR="00DE6CA4" w:rsidRPr="00B246D1" w:rsidRDefault="00A63CD5" w:rsidP="001145CE">
            <w:pPr>
              <w:pStyle w:val="bodytext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Regulate</w:t>
            </w:r>
          </w:p>
        </w:tc>
        <w:tc>
          <w:tcPr>
            <w:tcW w:w="2574" w:type="dxa"/>
          </w:tcPr>
          <w:p w:rsidR="00DE6CA4" w:rsidRPr="00B246D1" w:rsidRDefault="00315C49" w:rsidP="0079433D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Modular</w:t>
            </w:r>
            <w:r w:rsidR="005D714D">
              <w:rPr>
                <w:sz w:val="18"/>
                <w:szCs w:val="18"/>
              </w:rPr>
              <w:t xml:space="preserve"> Building</w:t>
            </w:r>
            <w:r w:rsidR="00952A7B">
              <w:rPr>
                <w:sz w:val="18"/>
                <w:szCs w:val="18"/>
              </w:rPr>
              <w:t xml:space="preserve"> Manufacturers</w:t>
            </w:r>
          </w:p>
        </w:tc>
        <w:tc>
          <w:tcPr>
            <w:tcW w:w="2574" w:type="dxa"/>
          </w:tcPr>
          <w:p w:rsidR="00DE6CA4" w:rsidRPr="00B246D1" w:rsidRDefault="00A959B9" w:rsidP="002F55AF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</w:t>
            </w:r>
            <w:r w:rsidR="001B3E03">
              <w:rPr>
                <w:sz w:val="18"/>
                <w:szCs w:val="18"/>
              </w:rPr>
              <w:t>e Home</w:t>
            </w:r>
            <w:r w:rsidR="00952A7B">
              <w:rPr>
                <w:sz w:val="18"/>
                <w:szCs w:val="18"/>
              </w:rPr>
              <w:t xml:space="preserve"> Manufacturers, Installers &amp; Dealers</w:t>
            </w:r>
          </w:p>
        </w:tc>
        <w:tc>
          <w:tcPr>
            <w:tcW w:w="2574" w:type="dxa"/>
          </w:tcPr>
          <w:p w:rsidR="00A63CD5" w:rsidRDefault="0079433D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Construction</w:t>
            </w:r>
            <w:r w:rsidR="001B3E03">
              <w:rPr>
                <w:sz w:val="18"/>
                <w:szCs w:val="18"/>
              </w:rPr>
              <w:t xml:space="preserve"> </w:t>
            </w:r>
            <w:r w:rsidR="00504988">
              <w:rPr>
                <w:sz w:val="18"/>
                <w:szCs w:val="18"/>
              </w:rPr>
              <w:t>Industry</w:t>
            </w:r>
          </w:p>
          <w:p w:rsidR="00392136" w:rsidRPr="00B246D1" w:rsidRDefault="001B3E03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Code Inspectors</w:t>
            </w:r>
          </w:p>
        </w:tc>
      </w:tr>
      <w:tr w:rsidR="00C759DA" w:rsidRPr="00B246D1" w:rsidTr="001145CE">
        <w:tc>
          <w:tcPr>
            <w:tcW w:w="2574" w:type="dxa"/>
          </w:tcPr>
          <w:p w:rsidR="00C759DA" w:rsidRPr="00B246D1" w:rsidRDefault="007532B3" w:rsidP="001145CE">
            <w:pPr>
              <w:pStyle w:val="bodytext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Enforcement By</w:t>
            </w:r>
          </w:p>
        </w:tc>
        <w:tc>
          <w:tcPr>
            <w:tcW w:w="2574" w:type="dxa"/>
          </w:tcPr>
          <w:p w:rsidR="00C759DA" w:rsidRPr="00B246D1" w:rsidRDefault="00C759DA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 w:rsidRPr="00B246D1">
              <w:rPr>
                <w:sz w:val="18"/>
                <w:szCs w:val="18"/>
              </w:rPr>
              <w:t>3</w:t>
            </w:r>
            <w:r w:rsidRPr="00B246D1">
              <w:rPr>
                <w:sz w:val="18"/>
                <w:szCs w:val="18"/>
                <w:vertAlign w:val="superscript"/>
              </w:rPr>
              <w:t>rd</w:t>
            </w:r>
            <w:r w:rsidRPr="00B246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</w:t>
            </w:r>
            <w:r w:rsidRPr="00B246D1">
              <w:rPr>
                <w:sz w:val="18"/>
                <w:szCs w:val="18"/>
              </w:rPr>
              <w:t>arty</w:t>
            </w:r>
            <w:r w:rsidR="005D714D">
              <w:rPr>
                <w:sz w:val="18"/>
                <w:szCs w:val="18"/>
              </w:rPr>
              <w:t xml:space="preserve"> Contracts</w:t>
            </w:r>
          </w:p>
        </w:tc>
        <w:tc>
          <w:tcPr>
            <w:tcW w:w="2574" w:type="dxa"/>
          </w:tcPr>
          <w:p w:rsidR="00C759DA" w:rsidRPr="00B246D1" w:rsidRDefault="00C759DA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 w:rsidRPr="00B246D1">
              <w:rPr>
                <w:sz w:val="18"/>
                <w:szCs w:val="18"/>
              </w:rPr>
              <w:t>State inspectors</w:t>
            </w:r>
          </w:p>
        </w:tc>
        <w:tc>
          <w:tcPr>
            <w:tcW w:w="2574" w:type="dxa"/>
          </w:tcPr>
          <w:p w:rsidR="00C759DA" w:rsidRPr="00B246D1" w:rsidRDefault="001B3E03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Licensed </w:t>
            </w:r>
            <w:r w:rsidR="007532B3">
              <w:rPr>
                <w:sz w:val="18"/>
                <w:szCs w:val="18"/>
              </w:rPr>
              <w:t>Local Inspectors</w:t>
            </w:r>
          </w:p>
        </w:tc>
      </w:tr>
      <w:tr w:rsidR="00A63CD5" w:rsidRPr="00B246D1" w:rsidTr="001145CE">
        <w:tc>
          <w:tcPr>
            <w:tcW w:w="2574" w:type="dxa"/>
          </w:tcPr>
          <w:p w:rsidR="00A63CD5" w:rsidRDefault="007532B3" w:rsidP="001145CE">
            <w:pPr>
              <w:pStyle w:val="bodytext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 Licenses Issued</w:t>
            </w:r>
          </w:p>
        </w:tc>
        <w:tc>
          <w:tcPr>
            <w:tcW w:w="2574" w:type="dxa"/>
          </w:tcPr>
          <w:p w:rsidR="00A54FE5" w:rsidRDefault="00A54FE5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Manufacturers: 179</w:t>
            </w:r>
            <w:r w:rsidR="005B1235">
              <w:rPr>
                <w:sz w:val="18"/>
                <w:szCs w:val="18"/>
              </w:rPr>
              <w:t xml:space="preserve"> (nationally)</w:t>
            </w:r>
          </w:p>
          <w:p w:rsidR="00A63CD5" w:rsidRPr="00B246D1" w:rsidRDefault="000B27B9" w:rsidP="00A54FE5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B27B9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Party: 1</w:t>
            </w:r>
            <w:r w:rsidR="00643DB9">
              <w:rPr>
                <w:sz w:val="18"/>
                <w:szCs w:val="18"/>
              </w:rPr>
              <w:t>9</w:t>
            </w:r>
          </w:p>
        </w:tc>
        <w:tc>
          <w:tcPr>
            <w:tcW w:w="2574" w:type="dxa"/>
          </w:tcPr>
          <w:p w:rsidR="002752D6" w:rsidRDefault="002752D6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Manufacturers:</w:t>
            </w:r>
            <w:r w:rsidR="00B35A66">
              <w:rPr>
                <w:sz w:val="18"/>
                <w:szCs w:val="18"/>
              </w:rPr>
              <w:t xml:space="preserve"> 23</w:t>
            </w:r>
            <w:r w:rsidR="005B1235">
              <w:rPr>
                <w:sz w:val="18"/>
                <w:szCs w:val="18"/>
              </w:rPr>
              <w:t xml:space="preserve"> (7 in Florida)</w:t>
            </w:r>
          </w:p>
          <w:p w:rsidR="00952A7B" w:rsidRPr="00B246D1" w:rsidRDefault="005D714D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Installers:  </w:t>
            </w:r>
            <w:r w:rsidR="007532B3">
              <w:rPr>
                <w:sz w:val="18"/>
                <w:szCs w:val="18"/>
              </w:rPr>
              <w:t>459</w:t>
            </w:r>
          </w:p>
        </w:tc>
        <w:tc>
          <w:tcPr>
            <w:tcW w:w="2574" w:type="dxa"/>
          </w:tcPr>
          <w:p w:rsidR="00A63CD5" w:rsidRDefault="00952A7B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CILB: </w:t>
            </w:r>
            <w:r w:rsidR="007532B3">
              <w:rPr>
                <w:sz w:val="18"/>
                <w:szCs w:val="18"/>
              </w:rPr>
              <w:t>11,502</w:t>
            </w:r>
          </w:p>
          <w:p w:rsidR="000B27B9" w:rsidRPr="00B246D1" w:rsidRDefault="001B3E03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 w:rsidRPr="001B3E03">
              <w:rPr>
                <w:sz w:val="18"/>
                <w:szCs w:val="18"/>
              </w:rPr>
              <w:t>BCAIB</w:t>
            </w:r>
            <w:r w:rsidR="003D1AAD">
              <w:rPr>
                <w:sz w:val="18"/>
                <w:szCs w:val="18"/>
              </w:rPr>
              <w:t>: 568</w:t>
            </w:r>
          </w:p>
        </w:tc>
      </w:tr>
      <w:tr w:rsidR="00A63CD5" w:rsidRPr="00B246D1" w:rsidTr="001145CE">
        <w:tc>
          <w:tcPr>
            <w:tcW w:w="2574" w:type="dxa"/>
          </w:tcPr>
          <w:p w:rsidR="00A63CD5" w:rsidRPr="00B246D1" w:rsidRDefault="007532B3" w:rsidP="001145CE">
            <w:pPr>
              <w:pStyle w:val="bodytext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# </w:t>
            </w:r>
            <w:r w:rsidR="00C759DA">
              <w:rPr>
                <w:sz w:val="18"/>
                <w:szCs w:val="18"/>
              </w:rPr>
              <w:t>Inspections</w:t>
            </w:r>
          </w:p>
        </w:tc>
        <w:tc>
          <w:tcPr>
            <w:tcW w:w="2574" w:type="dxa"/>
          </w:tcPr>
          <w:p w:rsidR="00A63CD5" w:rsidRDefault="002E530F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Buildings</w:t>
            </w:r>
            <w:r w:rsidR="007532B3">
              <w:rPr>
                <w:sz w:val="18"/>
                <w:szCs w:val="18"/>
              </w:rPr>
              <w:t>: 5,299</w:t>
            </w:r>
          </w:p>
          <w:p w:rsidR="007532B3" w:rsidRPr="00B246D1" w:rsidRDefault="002E530F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Manufacturers</w:t>
            </w:r>
            <w:r w:rsidR="007532B3">
              <w:rPr>
                <w:sz w:val="18"/>
                <w:szCs w:val="18"/>
              </w:rPr>
              <w:t>:  53</w:t>
            </w:r>
          </w:p>
        </w:tc>
        <w:tc>
          <w:tcPr>
            <w:tcW w:w="2574" w:type="dxa"/>
          </w:tcPr>
          <w:p w:rsidR="00A63CD5" w:rsidRDefault="007532B3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Homes</w:t>
            </w:r>
            <w:r w:rsidR="005D714D">
              <w:rPr>
                <w:sz w:val="18"/>
                <w:szCs w:val="18"/>
              </w:rPr>
              <w:t xml:space="preserve"> at Manufacturer</w:t>
            </w:r>
            <w:r>
              <w:rPr>
                <w:sz w:val="18"/>
                <w:szCs w:val="18"/>
              </w:rPr>
              <w:t>:  3,531</w:t>
            </w:r>
          </w:p>
          <w:p w:rsidR="007532B3" w:rsidRPr="00B246D1" w:rsidRDefault="00952A7B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Homes at </w:t>
            </w:r>
            <w:r w:rsidR="007532B3">
              <w:rPr>
                <w:sz w:val="18"/>
                <w:szCs w:val="18"/>
              </w:rPr>
              <w:t>Dealerships:  11,635</w:t>
            </w:r>
          </w:p>
        </w:tc>
        <w:tc>
          <w:tcPr>
            <w:tcW w:w="2574" w:type="dxa"/>
          </w:tcPr>
          <w:p w:rsidR="00A63CD5" w:rsidRPr="00B246D1" w:rsidRDefault="007532B3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  <w:r w:rsidR="003E7A2F">
              <w:rPr>
                <w:sz w:val="18"/>
                <w:szCs w:val="18"/>
              </w:rPr>
              <w:t>n/a</w:t>
            </w:r>
          </w:p>
        </w:tc>
      </w:tr>
      <w:tr w:rsidR="00392136" w:rsidRPr="00B246D1" w:rsidTr="001145CE">
        <w:tc>
          <w:tcPr>
            <w:tcW w:w="2574" w:type="dxa"/>
          </w:tcPr>
          <w:p w:rsidR="00392136" w:rsidRDefault="00392136" w:rsidP="001145CE">
            <w:pPr>
              <w:pStyle w:val="bodytext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Inspects Out of State Manufacturers</w:t>
            </w:r>
          </w:p>
        </w:tc>
        <w:tc>
          <w:tcPr>
            <w:tcW w:w="2574" w:type="dxa"/>
          </w:tcPr>
          <w:p w:rsidR="00392136" w:rsidRDefault="00392136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2574" w:type="dxa"/>
          </w:tcPr>
          <w:p w:rsidR="00392136" w:rsidRDefault="00392136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574" w:type="dxa"/>
          </w:tcPr>
          <w:p w:rsidR="00392136" w:rsidRDefault="00392136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</w:tbl>
    <w:p w:rsidR="001B3E03" w:rsidRDefault="001B3E03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2700"/>
        <w:gridCol w:w="2574"/>
        <w:gridCol w:w="2574"/>
      </w:tblGrid>
      <w:tr w:rsidR="00A959B9" w:rsidRPr="00B246D1" w:rsidTr="00C63EC4">
        <w:tc>
          <w:tcPr>
            <w:tcW w:w="2448" w:type="dxa"/>
          </w:tcPr>
          <w:p w:rsidR="00A959B9" w:rsidRPr="00B246D1" w:rsidRDefault="007532B3" w:rsidP="001145CE">
            <w:pPr>
              <w:pStyle w:val="bodytext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# Insignias/Seals</w:t>
            </w:r>
            <w:r w:rsidR="00A959B9">
              <w:rPr>
                <w:sz w:val="18"/>
                <w:szCs w:val="18"/>
              </w:rPr>
              <w:t xml:space="preserve"> </w:t>
            </w:r>
            <w:r w:rsidR="00A63CD5">
              <w:rPr>
                <w:sz w:val="18"/>
                <w:szCs w:val="18"/>
              </w:rPr>
              <w:t>Issued</w:t>
            </w:r>
          </w:p>
        </w:tc>
        <w:tc>
          <w:tcPr>
            <w:tcW w:w="2700" w:type="dxa"/>
          </w:tcPr>
          <w:p w:rsidR="00A63CD5" w:rsidRDefault="002E530F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Commercial:  1,104</w:t>
            </w:r>
          </w:p>
          <w:p w:rsidR="002E530F" w:rsidRDefault="002E530F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Residential:  300</w:t>
            </w:r>
          </w:p>
          <w:p w:rsidR="001145CE" w:rsidRDefault="002E530F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Schools:  879</w:t>
            </w:r>
          </w:p>
          <w:p w:rsidR="002E530F" w:rsidRDefault="002E530F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Sheds:  17,989</w:t>
            </w:r>
          </w:p>
          <w:p w:rsidR="001145CE" w:rsidRPr="00B246D1" w:rsidRDefault="001145CE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Prototypes: 6</w:t>
            </w:r>
          </w:p>
        </w:tc>
        <w:tc>
          <w:tcPr>
            <w:tcW w:w="2574" w:type="dxa"/>
          </w:tcPr>
          <w:p w:rsidR="00A63CD5" w:rsidRPr="00B246D1" w:rsidRDefault="003E7A2F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Residential:  </w:t>
            </w:r>
            <w:r w:rsidR="007532B3">
              <w:rPr>
                <w:sz w:val="18"/>
                <w:szCs w:val="18"/>
              </w:rPr>
              <w:t>2,592</w:t>
            </w:r>
          </w:p>
        </w:tc>
        <w:tc>
          <w:tcPr>
            <w:tcW w:w="2574" w:type="dxa"/>
          </w:tcPr>
          <w:p w:rsidR="00A959B9" w:rsidRPr="00B246D1" w:rsidRDefault="002E530F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  <w:r w:rsidR="003E7A2F">
              <w:rPr>
                <w:sz w:val="18"/>
                <w:szCs w:val="18"/>
              </w:rPr>
              <w:t>n/a</w:t>
            </w:r>
          </w:p>
        </w:tc>
      </w:tr>
      <w:tr w:rsidR="00A63CD5" w:rsidRPr="00B246D1" w:rsidTr="00C63EC4">
        <w:tc>
          <w:tcPr>
            <w:tcW w:w="2448" w:type="dxa"/>
          </w:tcPr>
          <w:p w:rsidR="00A63CD5" w:rsidRPr="00B246D1" w:rsidRDefault="00C759DA" w:rsidP="001145CE">
            <w:pPr>
              <w:pStyle w:val="bodytext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Complaints</w:t>
            </w:r>
          </w:p>
        </w:tc>
        <w:tc>
          <w:tcPr>
            <w:tcW w:w="2700" w:type="dxa"/>
          </w:tcPr>
          <w:p w:rsidR="00A63CD5" w:rsidRDefault="000B27B9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Unlicensed Activity: 1</w:t>
            </w:r>
          </w:p>
          <w:p w:rsidR="000B27B9" w:rsidRDefault="000B27B9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Compliance Violations:  2</w:t>
            </w:r>
          </w:p>
          <w:p w:rsidR="000B27B9" w:rsidRDefault="000B27B9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Consumer Complaint:  4</w:t>
            </w:r>
          </w:p>
          <w:p w:rsidR="000B27B9" w:rsidRPr="00B246D1" w:rsidRDefault="000B27B9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 Review </w:t>
            </w:r>
            <w:r w:rsidR="00B47E3A">
              <w:rPr>
                <w:sz w:val="18"/>
                <w:szCs w:val="18"/>
              </w:rPr>
              <w:t>Discrepancies</w:t>
            </w:r>
            <w:r>
              <w:rPr>
                <w:sz w:val="18"/>
                <w:szCs w:val="18"/>
              </w:rPr>
              <w:t>:  1</w:t>
            </w:r>
          </w:p>
        </w:tc>
        <w:tc>
          <w:tcPr>
            <w:tcW w:w="2574" w:type="dxa"/>
          </w:tcPr>
          <w:p w:rsidR="00A63CD5" w:rsidRDefault="005D714D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Warranty</w:t>
            </w:r>
            <w:r w:rsidR="007532B3">
              <w:rPr>
                <w:sz w:val="18"/>
                <w:szCs w:val="18"/>
              </w:rPr>
              <w:t>:  132</w:t>
            </w:r>
          </w:p>
          <w:p w:rsidR="007532B3" w:rsidRPr="00B246D1" w:rsidRDefault="007532B3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Installations:  10</w:t>
            </w:r>
          </w:p>
        </w:tc>
        <w:tc>
          <w:tcPr>
            <w:tcW w:w="2574" w:type="dxa"/>
          </w:tcPr>
          <w:p w:rsidR="00A63CD5" w:rsidRDefault="001B3E03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CILB</w:t>
            </w:r>
            <w:r w:rsidR="003D1AAD">
              <w:rPr>
                <w:sz w:val="18"/>
                <w:szCs w:val="18"/>
              </w:rPr>
              <w:t xml:space="preserve">: </w:t>
            </w:r>
            <w:r w:rsidR="007532B3">
              <w:rPr>
                <w:sz w:val="18"/>
                <w:szCs w:val="18"/>
              </w:rPr>
              <w:t>6,853</w:t>
            </w:r>
            <w:r w:rsidR="003D1AAD">
              <w:rPr>
                <w:sz w:val="18"/>
                <w:szCs w:val="18"/>
              </w:rPr>
              <w:t xml:space="preserve"> </w:t>
            </w:r>
            <w:r w:rsidR="00315C49">
              <w:rPr>
                <w:sz w:val="18"/>
                <w:szCs w:val="18"/>
                <w:vertAlign w:val="superscript"/>
              </w:rPr>
              <w:t>*</w:t>
            </w:r>
          </w:p>
          <w:p w:rsidR="003D1AAD" w:rsidRPr="00B246D1" w:rsidRDefault="001B3E03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 w:rsidRPr="001B3E03">
              <w:rPr>
                <w:sz w:val="18"/>
                <w:szCs w:val="18"/>
              </w:rPr>
              <w:t>BCAIB</w:t>
            </w:r>
            <w:r w:rsidR="003D1AAD">
              <w:rPr>
                <w:sz w:val="18"/>
                <w:szCs w:val="18"/>
              </w:rPr>
              <w:t>:  117</w:t>
            </w:r>
          </w:p>
        </w:tc>
      </w:tr>
      <w:tr w:rsidR="00BB76EF" w:rsidRPr="00B246D1" w:rsidTr="00C63EC4">
        <w:tc>
          <w:tcPr>
            <w:tcW w:w="2448" w:type="dxa"/>
          </w:tcPr>
          <w:p w:rsidR="00BB76EF" w:rsidRPr="00B246D1" w:rsidRDefault="00C759DA" w:rsidP="001145CE">
            <w:pPr>
              <w:pStyle w:val="bodytext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Investigations</w:t>
            </w:r>
          </w:p>
        </w:tc>
        <w:tc>
          <w:tcPr>
            <w:tcW w:w="2700" w:type="dxa"/>
          </w:tcPr>
          <w:p w:rsidR="00BB76EF" w:rsidRPr="00B246D1" w:rsidRDefault="002E530F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74" w:type="dxa"/>
          </w:tcPr>
          <w:p w:rsidR="00BB76EF" w:rsidRDefault="005D714D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Warranty</w:t>
            </w:r>
            <w:r w:rsidR="007532B3">
              <w:rPr>
                <w:sz w:val="18"/>
                <w:szCs w:val="18"/>
              </w:rPr>
              <w:t>:  62</w:t>
            </w:r>
          </w:p>
          <w:p w:rsidR="007532B3" w:rsidRPr="00B246D1" w:rsidRDefault="007532B3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Installations:  111</w:t>
            </w:r>
          </w:p>
        </w:tc>
        <w:tc>
          <w:tcPr>
            <w:tcW w:w="2574" w:type="dxa"/>
          </w:tcPr>
          <w:p w:rsidR="00BB76EF" w:rsidRDefault="001B3E03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CILB</w:t>
            </w:r>
            <w:r w:rsidR="003D1AAD">
              <w:rPr>
                <w:sz w:val="18"/>
                <w:szCs w:val="18"/>
              </w:rPr>
              <w:t xml:space="preserve">: </w:t>
            </w:r>
            <w:r w:rsidR="007532B3">
              <w:rPr>
                <w:sz w:val="18"/>
                <w:szCs w:val="18"/>
              </w:rPr>
              <w:t>2,930</w:t>
            </w:r>
          </w:p>
          <w:p w:rsidR="003D1AAD" w:rsidRPr="00B246D1" w:rsidRDefault="001B3E03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 w:rsidRPr="001B3E03">
              <w:rPr>
                <w:sz w:val="18"/>
                <w:szCs w:val="18"/>
              </w:rPr>
              <w:t>BCAIB</w:t>
            </w:r>
            <w:r w:rsidR="003D1AAD">
              <w:rPr>
                <w:sz w:val="18"/>
                <w:szCs w:val="18"/>
              </w:rPr>
              <w:t>: 53</w:t>
            </w:r>
          </w:p>
        </w:tc>
      </w:tr>
      <w:tr w:rsidR="00DE6CA4" w:rsidRPr="00B246D1" w:rsidTr="00C63EC4">
        <w:tc>
          <w:tcPr>
            <w:tcW w:w="2448" w:type="dxa"/>
          </w:tcPr>
          <w:p w:rsidR="00DE6CA4" w:rsidRPr="00B246D1" w:rsidRDefault="00A54FE5" w:rsidP="001145CE">
            <w:pPr>
              <w:pStyle w:val="bodytext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 and Training</w:t>
            </w:r>
          </w:p>
        </w:tc>
        <w:tc>
          <w:tcPr>
            <w:tcW w:w="2700" w:type="dxa"/>
          </w:tcPr>
          <w:p w:rsidR="00DE6CA4" w:rsidRDefault="003E7A2F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Continuing education training</w:t>
            </w:r>
          </w:p>
          <w:p w:rsidR="003E7A2F" w:rsidRDefault="003E7A2F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 training</w:t>
            </w:r>
          </w:p>
          <w:p w:rsidR="003E7A2F" w:rsidRDefault="003E7A2F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Technical assistance</w:t>
            </w:r>
          </w:p>
          <w:p w:rsidR="003E7A2F" w:rsidRPr="00B246D1" w:rsidRDefault="00A54FE5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Code</w:t>
            </w:r>
            <w:r w:rsidR="00161B1A">
              <w:rPr>
                <w:sz w:val="18"/>
                <w:szCs w:val="18"/>
              </w:rPr>
              <w:t xml:space="preserve"> O</w:t>
            </w:r>
            <w:r w:rsidR="003E7A2F">
              <w:rPr>
                <w:sz w:val="18"/>
                <w:szCs w:val="18"/>
              </w:rPr>
              <w:t>fficials on updated program information</w:t>
            </w:r>
          </w:p>
        </w:tc>
        <w:tc>
          <w:tcPr>
            <w:tcW w:w="2574" w:type="dxa"/>
          </w:tcPr>
          <w:p w:rsidR="00DE6CA4" w:rsidRDefault="00B47E3A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Initial</w:t>
            </w:r>
            <w:r w:rsidR="005D714D">
              <w:rPr>
                <w:sz w:val="18"/>
                <w:szCs w:val="18"/>
              </w:rPr>
              <w:t xml:space="preserve"> Installer:  12 classes</w:t>
            </w:r>
          </w:p>
          <w:p w:rsidR="005D714D" w:rsidRDefault="005D714D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Refresher Installer:  16 classes</w:t>
            </w:r>
          </w:p>
          <w:p w:rsidR="005D714D" w:rsidRDefault="005D714D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Dealers:  14 classes</w:t>
            </w:r>
          </w:p>
          <w:p w:rsidR="005D714D" w:rsidRDefault="00A54FE5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Code</w:t>
            </w:r>
            <w:r w:rsidR="00161B1A">
              <w:rPr>
                <w:sz w:val="18"/>
                <w:szCs w:val="18"/>
              </w:rPr>
              <w:t xml:space="preserve"> O</w:t>
            </w:r>
            <w:r w:rsidR="005D714D">
              <w:rPr>
                <w:sz w:val="18"/>
                <w:szCs w:val="18"/>
              </w:rPr>
              <w:t>fficials:  42 classes</w:t>
            </w:r>
          </w:p>
          <w:p w:rsidR="005D714D" w:rsidRPr="00B246D1" w:rsidRDefault="005D714D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Manufacturer inspectors:  8 classes</w:t>
            </w:r>
          </w:p>
        </w:tc>
        <w:tc>
          <w:tcPr>
            <w:tcW w:w="2574" w:type="dxa"/>
          </w:tcPr>
          <w:p w:rsidR="00DE6CA4" w:rsidRDefault="001B3E03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Construction Industry </w:t>
            </w:r>
            <w:r w:rsidR="003E7A2F">
              <w:rPr>
                <w:sz w:val="18"/>
                <w:szCs w:val="18"/>
              </w:rPr>
              <w:t>Outreach:  192</w:t>
            </w:r>
          </w:p>
          <w:p w:rsidR="003E7A2F" w:rsidRPr="00B246D1" w:rsidRDefault="00161B1A" w:rsidP="001145CE">
            <w:pPr>
              <w:pStyle w:val="bodytext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Code O</w:t>
            </w:r>
            <w:r w:rsidR="001B3E03">
              <w:rPr>
                <w:sz w:val="18"/>
                <w:szCs w:val="18"/>
              </w:rPr>
              <w:t xml:space="preserve">fficials </w:t>
            </w:r>
            <w:r w:rsidR="003D1AAD">
              <w:rPr>
                <w:sz w:val="18"/>
                <w:szCs w:val="18"/>
              </w:rPr>
              <w:t>Outreach: 4</w:t>
            </w:r>
          </w:p>
        </w:tc>
      </w:tr>
    </w:tbl>
    <w:p w:rsidR="00C22FFC" w:rsidRDefault="00315C49" w:rsidP="001D0414">
      <w:pPr>
        <w:pStyle w:val="bodytext"/>
        <w:jc w:val="left"/>
        <w:rPr>
          <w:sz w:val="16"/>
          <w:szCs w:val="16"/>
        </w:rPr>
      </w:pPr>
      <w:r>
        <w:rPr>
          <w:sz w:val="16"/>
          <w:szCs w:val="16"/>
          <w:vertAlign w:val="superscript"/>
        </w:rPr>
        <w:t>*</w:t>
      </w:r>
      <w:r w:rsidR="00401DE9" w:rsidRPr="00401DE9">
        <w:rPr>
          <w:sz w:val="16"/>
          <w:szCs w:val="16"/>
        </w:rPr>
        <w:t xml:space="preserve"> Complaints</w:t>
      </w:r>
      <w:r w:rsidR="00401DE9">
        <w:rPr>
          <w:sz w:val="16"/>
          <w:szCs w:val="16"/>
        </w:rPr>
        <w:t xml:space="preserve"> </w:t>
      </w:r>
      <w:r w:rsidR="00134A85">
        <w:rPr>
          <w:sz w:val="16"/>
          <w:szCs w:val="16"/>
        </w:rPr>
        <w:t xml:space="preserve">of all professions regulated by DBPR </w:t>
      </w:r>
      <w:r w:rsidR="00401DE9">
        <w:rPr>
          <w:sz w:val="16"/>
          <w:szCs w:val="16"/>
        </w:rPr>
        <w:t xml:space="preserve">are handled in a centralized manner.  Most analysts/investigators handle construction industry complaints with </w:t>
      </w:r>
      <w:r w:rsidR="00134A85">
        <w:rPr>
          <w:sz w:val="16"/>
          <w:szCs w:val="16"/>
        </w:rPr>
        <w:t>some</w:t>
      </w:r>
      <w:r w:rsidR="00401DE9">
        <w:rPr>
          <w:sz w:val="16"/>
          <w:szCs w:val="16"/>
        </w:rPr>
        <w:t xml:space="preserve"> analysts specializing in specific professions.</w:t>
      </w:r>
    </w:p>
    <w:p w:rsidR="00DE6CA4" w:rsidRPr="00FD3C06" w:rsidRDefault="003E7A2F" w:rsidP="001D0414">
      <w:pPr>
        <w:pStyle w:val="bodytext"/>
        <w:jc w:val="left"/>
        <w:rPr>
          <w:sz w:val="16"/>
          <w:szCs w:val="16"/>
        </w:rPr>
      </w:pPr>
      <w:r w:rsidRPr="00FD3C06">
        <w:rPr>
          <w:sz w:val="16"/>
          <w:szCs w:val="16"/>
        </w:rPr>
        <w:t xml:space="preserve">Source:  Departmental responses </w:t>
      </w:r>
      <w:r w:rsidR="00FD3C06" w:rsidRPr="00FD3C06">
        <w:rPr>
          <w:sz w:val="16"/>
          <w:szCs w:val="16"/>
        </w:rPr>
        <w:t xml:space="preserve">to </w:t>
      </w:r>
      <w:r w:rsidR="00B47E3A" w:rsidRPr="00FD3C06">
        <w:rPr>
          <w:sz w:val="16"/>
          <w:szCs w:val="16"/>
        </w:rPr>
        <w:t xml:space="preserve">specific </w:t>
      </w:r>
      <w:r w:rsidR="00B47E3A">
        <w:rPr>
          <w:sz w:val="16"/>
          <w:szCs w:val="16"/>
        </w:rPr>
        <w:t>information</w:t>
      </w:r>
      <w:r w:rsidR="00FD3C06" w:rsidRPr="00FD3C06">
        <w:rPr>
          <w:sz w:val="16"/>
          <w:szCs w:val="16"/>
        </w:rPr>
        <w:t xml:space="preserve"> request</w:t>
      </w:r>
      <w:r w:rsidR="00315C49">
        <w:rPr>
          <w:sz w:val="16"/>
          <w:szCs w:val="16"/>
        </w:rPr>
        <w:t>s</w:t>
      </w:r>
      <w:r w:rsidR="00FD3C06" w:rsidRPr="00FD3C06">
        <w:rPr>
          <w:sz w:val="16"/>
          <w:szCs w:val="16"/>
        </w:rPr>
        <w:t>.</w:t>
      </w:r>
    </w:p>
    <w:p w:rsidR="00DA15D3" w:rsidRPr="00906FB6" w:rsidRDefault="004E28E7" w:rsidP="001D0414">
      <w:pPr>
        <w:pStyle w:val="bodytext"/>
        <w:spacing w:before="120"/>
        <w:jc w:val="left"/>
        <w:rPr>
          <w:rFonts w:ascii="Arial Black" w:hAnsi="Arial Black"/>
          <w:b/>
          <w:i/>
          <w:sz w:val="24"/>
          <w:szCs w:val="24"/>
        </w:rPr>
      </w:pPr>
      <w:r>
        <w:rPr>
          <w:rFonts w:ascii="Arial Black" w:hAnsi="Arial Black"/>
          <w:b/>
          <w:i/>
          <w:sz w:val="24"/>
          <w:szCs w:val="24"/>
        </w:rPr>
        <w:t>Findings</w:t>
      </w:r>
    </w:p>
    <w:p w:rsidR="005B1235" w:rsidRDefault="007D53DA" w:rsidP="001D0414">
      <w:pPr>
        <w:pStyle w:val="bodytext"/>
        <w:spacing w:before="120"/>
        <w:jc w:val="left"/>
        <w:rPr>
          <w:szCs w:val="24"/>
        </w:rPr>
      </w:pPr>
      <w:r>
        <w:rPr>
          <w:szCs w:val="24"/>
        </w:rPr>
        <w:t>The</w:t>
      </w:r>
      <w:r w:rsidRPr="00CD4EEA">
        <w:rPr>
          <w:szCs w:val="24"/>
        </w:rPr>
        <w:t xml:space="preserve"> two inspection programs operate in a different manner.  </w:t>
      </w:r>
    </w:p>
    <w:p w:rsidR="00CD3244" w:rsidRDefault="00315C49" w:rsidP="005B1235">
      <w:pPr>
        <w:pStyle w:val="bodytext"/>
        <w:numPr>
          <w:ilvl w:val="0"/>
          <w:numId w:val="16"/>
        </w:numPr>
        <w:spacing w:before="120"/>
        <w:jc w:val="left"/>
        <w:rPr>
          <w:szCs w:val="24"/>
        </w:rPr>
      </w:pPr>
      <w:r>
        <w:rPr>
          <w:szCs w:val="24"/>
        </w:rPr>
        <w:t>DCA</w:t>
      </w:r>
      <w:r w:rsidR="007D53DA" w:rsidRPr="00CD4EEA">
        <w:rPr>
          <w:szCs w:val="24"/>
        </w:rPr>
        <w:t xml:space="preserve"> contracts with private entities to inspect </w:t>
      </w:r>
      <w:r>
        <w:rPr>
          <w:szCs w:val="24"/>
        </w:rPr>
        <w:t>modular</w:t>
      </w:r>
      <w:r w:rsidR="0079433D">
        <w:rPr>
          <w:szCs w:val="24"/>
        </w:rPr>
        <w:t xml:space="preserve"> building</w:t>
      </w:r>
      <w:r w:rsidR="007D53DA" w:rsidRPr="00CD4EEA">
        <w:rPr>
          <w:szCs w:val="24"/>
        </w:rPr>
        <w:t xml:space="preserve"> construction</w:t>
      </w:r>
      <w:r w:rsidR="00381A6C">
        <w:rPr>
          <w:szCs w:val="24"/>
        </w:rPr>
        <w:t xml:space="preserve"> and for quality assurance</w:t>
      </w:r>
      <w:r w:rsidR="00CD207A">
        <w:rPr>
          <w:szCs w:val="24"/>
        </w:rPr>
        <w:t>.</w:t>
      </w:r>
    </w:p>
    <w:p w:rsidR="007D53DA" w:rsidRDefault="005B1235" w:rsidP="005B1235">
      <w:pPr>
        <w:pStyle w:val="bodytext"/>
        <w:numPr>
          <w:ilvl w:val="0"/>
          <w:numId w:val="16"/>
        </w:numPr>
        <w:spacing w:before="120"/>
        <w:jc w:val="left"/>
        <w:rPr>
          <w:szCs w:val="24"/>
        </w:rPr>
      </w:pPr>
      <w:r>
        <w:rPr>
          <w:szCs w:val="24"/>
        </w:rPr>
        <w:t xml:space="preserve">DHSMV </w:t>
      </w:r>
      <w:r w:rsidR="007D53DA" w:rsidRPr="00CD4EEA">
        <w:rPr>
          <w:szCs w:val="24"/>
        </w:rPr>
        <w:t xml:space="preserve">does inspections with state employees.  </w:t>
      </w:r>
    </w:p>
    <w:p w:rsidR="00C30BCC" w:rsidRDefault="00C30BCC" w:rsidP="00C30BCC">
      <w:pPr>
        <w:pStyle w:val="bodytext"/>
        <w:spacing w:before="120"/>
        <w:jc w:val="left"/>
        <w:rPr>
          <w:szCs w:val="24"/>
        </w:rPr>
      </w:pPr>
      <w:r w:rsidRPr="00CD4EEA">
        <w:rPr>
          <w:szCs w:val="24"/>
        </w:rPr>
        <w:t xml:space="preserve">Inspectors </w:t>
      </w:r>
      <w:r>
        <w:rPr>
          <w:szCs w:val="24"/>
        </w:rPr>
        <w:t>from DCA and DHSMV</w:t>
      </w:r>
      <w:r w:rsidRPr="00CD4EEA">
        <w:rPr>
          <w:szCs w:val="24"/>
        </w:rPr>
        <w:t xml:space="preserve"> sometimes go to the same facility to inspect different homes</w:t>
      </w:r>
      <w:r>
        <w:rPr>
          <w:szCs w:val="24"/>
        </w:rPr>
        <w:t xml:space="preserve">.  </w:t>
      </w:r>
    </w:p>
    <w:p w:rsidR="00C30BCC" w:rsidRDefault="00C30BCC" w:rsidP="00C30BCC">
      <w:pPr>
        <w:pStyle w:val="bodytext"/>
        <w:numPr>
          <w:ilvl w:val="0"/>
          <w:numId w:val="16"/>
        </w:numPr>
        <w:spacing w:before="120"/>
        <w:jc w:val="left"/>
        <w:rPr>
          <w:szCs w:val="24"/>
        </w:rPr>
      </w:pPr>
      <w:r>
        <w:rPr>
          <w:szCs w:val="24"/>
        </w:rPr>
        <w:t>T</w:t>
      </w:r>
      <w:r w:rsidR="00CD207A">
        <w:rPr>
          <w:szCs w:val="24"/>
        </w:rPr>
        <w:t>wo of t</w:t>
      </w:r>
      <w:r>
        <w:rPr>
          <w:szCs w:val="24"/>
        </w:rPr>
        <w:t xml:space="preserve">he seven </w:t>
      </w:r>
      <w:r w:rsidR="007D0FAA">
        <w:rPr>
          <w:szCs w:val="24"/>
        </w:rPr>
        <w:t xml:space="preserve">Florida mobile home </w:t>
      </w:r>
      <w:r>
        <w:rPr>
          <w:szCs w:val="24"/>
        </w:rPr>
        <w:t xml:space="preserve">manufacturers inspected by </w:t>
      </w:r>
      <w:r w:rsidR="00BA5E4B">
        <w:rPr>
          <w:szCs w:val="24"/>
        </w:rPr>
        <w:t>DHSMV construct</w:t>
      </w:r>
      <w:r>
        <w:rPr>
          <w:szCs w:val="24"/>
        </w:rPr>
        <w:t xml:space="preserve"> both modular buildings and </w:t>
      </w:r>
      <w:r w:rsidRPr="00CD4EEA">
        <w:rPr>
          <w:szCs w:val="24"/>
        </w:rPr>
        <w:t xml:space="preserve">mobile </w:t>
      </w:r>
      <w:r>
        <w:rPr>
          <w:szCs w:val="24"/>
        </w:rPr>
        <w:t>homes</w:t>
      </w:r>
      <w:r w:rsidRPr="002E530F">
        <w:rPr>
          <w:szCs w:val="24"/>
        </w:rPr>
        <w:t>.</w:t>
      </w:r>
      <w:r w:rsidRPr="00CD4EEA">
        <w:rPr>
          <w:szCs w:val="24"/>
        </w:rPr>
        <w:t xml:space="preserve">  </w:t>
      </w:r>
    </w:p>
    <w:p w:rsidR="005B1235" w:rsidRDefault="007D53DA" w:rsidP="001145CE">
      <w:pPr>
        <w:pStyle w:val="bodytext"/>
        <w:jc w:val="left"/>
      </w:pPr>
      <w:r w:rsidRPr="007D53DA">
        <w:t xml:space="preserve">If a state chooses not to participate as </w:t>
      </w:r>
      <w:r>
        <w:t>an inspection agency</w:t>
      </w:r>
      <w:r w:rsidRPr="007D53DA">
        <w:t xml:space="preserve">, manufacturers of </w:t>
      </w:r>
      <w:r w:rsidR="00362711">
        <w:t>mobile</w:t>
      </w:r>
      <w:r w:rsidRPr="007D53DA">
        <w:t xml:space="preserve"> homes </w:t>
      </w:r>
      <w:r w:rsidR="00D816A9">
        <w:t>would</w:t>
      </w:r>
      <w:r w:rsidRPr="007D53DA">
        <w:t xml:space="preserve"> contract with HUD approved private entities.</w:t>
      </w:r>
      <w:r w:rsidR="001145CE">
        <w:t xml:space="preserve">  </w:t>
      </w:r>
    </w:p>
    <w:p w:rsidR="00C30BCC" w:rsidRPr="00A96CAC" w:rsidRDefault="00C30BCC" w:rsidP="00C30BCC">
      <w:pPr>
        <w:pStyle w:val="bodytext"/>
        <w:jc w:val="left"/>
        <w:rPr>
          <w:bCs/>
          <w:szCs w:val="18"/>
        </w:rPr>
      </w:pPr>
      <w:r>
        <w:rPr>
          <w:bCs/>
          <w:szCs w:val="18"/>
        </w:rPr>
        <w:t>To</w:t>
      </w:r>
      <w:r w:rsidRPr="00A96CAC">
        <w:rPr>
          <w:bCs/>
          <w:szCs w:val="18"/>
        </w:rPr>
        <w:t xml:space="preserve"> best streamline and maintain control of the regulation of these entities, the state could </w:t>
      </w:r>
      <w:r w:rsidRPr="00DE1953">
        <w:rPr>
          <w:bCs/>
          <w:szCs w:val="18"/>
        </w:rPr>
        <w:t>request</w:t>
      </w:r>
      <w:r>
        <w:rPr>
          <w:bCs/>
          <w:color w:val="C00000"/>
          <w:szCs w:val="18"/>
        </w:rPr>
        <w:t xml:space="preserve"> </w:t>
      </w:r>
      <w:r w:rsidRPr="004959F8">
        <w:rPr>
          <w:bCs/>
          <w:szCs w:val="18"/>
        </w:rPr>
        <w:t>approval to utilize private entities and consolidate</w:t>
      </w:r>
      <w:r w:rsidRPr="00A96CAC">
        <w:rPr>
          <w:bCs/>
          <w:szCs w:val="18"/>
        </w:rPr>
        <w:t xml:space="preserve"> the third party contract.</w:t>
      </w:r>
    </w:p>
    <w:p w:rsidR="00381A6C" w:rsidRDefault="00C378D3" w:rsidP="00C30BCC">
      <w:pPr>
        <w:pStyle w:val="bodytext"/>
        <w:numPr>
          <w:ilvl w:val="0"/>
          <w:numId w:val="16"/>
        </w:numPr>
        <w:jc w:val="left"/>
        <w:rPr>
          <w:bCs/>
          <w:snapToGrid w:val="0"/>
        </w:rPr>
      </w:pPr>
      <w:r>
        <w:rPr>
          <w:bCs/>
          <w:snapToGrid w:val="0"/>
        </w:rPr>
        <w:t>Several</w:t>
      </w:r>
      <w:r w:rsidR="00381A6C">
        <w:rPr>
          <w:bCs/>
          <w:snapToGrid w:val="0"/>
        </w:rPr>
        <w:t xml:space="preserve"> private entities currently inspect both modular building and mobile home manufacturers.</w:t>
      </w:r>
    </w:p>
    <w:p w:rsidR="00E05E59" w:rsidRDefault="00E05E59" w:rsidP="00E05E59">
      <w:pPr>
        <w:pStyle w:val="bodytext"/>
        <w:spacing w:before="120"/>
        <w:jc w:val="left"/>
      </w:pPr>
      <w:r>
        <w:t xml:space="preserve">DCA,DHSMV, and DBPR are all providing continuing education to </w:t>
      </w:r>
      <w:r w:rsidR="004959F8">
        <w:t>local inspectors</w:t>
      </w:r>
      <w:r>
        <w:t xml:space="preserve">. </w:t>
      </w:r>
    </w:p>
    <w:p w:rsidR="00F25245" w:rsidRDefault="00F25245" w:rsidP="001D0414">
      <w:pPr>
        <w:pStyle w:val="bodytext"/>
        <w:spacing w:before="120"/>
        <w:jc w:val="left"/>
      </w:pPr>
      <w:r>
        <w:t xml:space="preserve">The 2005 </w:t>
      </w:r>
      <w:r w:rsidR="001145CE">
        <w:t>l</w:t>
      </w:r>
      <w:r>
        <w:t xml:space="preserve">egislatively created Manufactured Housing Regulatory Study </w:t>
      </w:r>
      <w:r w:rsidR="001145CE">
        <w:t>C</w:t>
      </w:r>
      <w:r>
        <w:t>ommission recommended DCA’s</w:t>
      </w:r>
      <w:r w:rsidR="007D0FAA">
        <w:t xml:space="preserve"> and DHSMV’s programs be merged within DHSMV</w:t>
      </w:r>
    </w:p>
    <w:p w:rsidR="004959F8" w:rsidRDefault="002161AD" w:rsidP="002161AD">
      <w:pPr>
        <w:pStyle w:val="bodytext"/>
        <w:spacing w:before="120"/>
        <w:jc w:val="left"/>
      </w:pPr>
      <w:r>
        <w:lastRenderedPageBreak/>
        <w:t>The</w:t>
      </w:r>
      <w:r w:rsidRPr="00CD4EEA">
        <w:t xml:space="preserve"> Mobile Home Compliance and Enforcement Program </w:t>
      </w:r>
      <w:proofErr w:type="gramStart"/>
      <w:r w:rsidRPr="00CD4EEA">
        <w:t>does</w:t>
      </w:r>
      <w:proofErr w:type="gramEnd"/>
      <w:r w:rsidRPr="00CD4EEA">
        <w:t xml:space="preserve"> not fall within the mission of the Department of Highway Safety and Motor Vehicles of developing, maintaining, and supporting a safe driving environment.  </w:t>
      </w:r>
    </w:p>
    <w:p w:rsidR="002161AD" w:rsidRDefault="002161AD" w:rsidP="004959F8">
      <w:pPr>
        <w:pStyle w:val="bodytext"/>
        <w:numPr>
          <w:ilvl w:val="0"/>
          <w:numId w:val="17"/>
        </w:numPr>
        <w:spacing w:before="120"/>
        <w:jc w:val="left"/>
      </w:pPr>
      <w:r w:rsidRPr="00CD4EEA">
        <w:t>No other state with similar mobile home regulatory responsibilities places this function within a highway safety or motor vehicle department.</w:t>
      </w:r>
    </w:p>
    <w:p w:rsidR="00C30BCC" w:rsidRDefault="00C30BCC" w:rsidP="004959F8">
      <w:pPr>
        <w:pStyle w:val="bodytext"/>
        <w:numPr>
          <w:ilvl w:val="0"/>
          <w:numId w:val="17"/>
        </w:numPr>
        <w:spacing w:before="120"/>
        <w:jc w:val="left"/>
      </w:pPr>
      <w:r>
        <w:t>Although the programs’ missions are more consistent with DCA’s mission, combining all building programs under one entity would make the building process easier for citizens to navigate.</w:t>
      </w:r>
    </w:p>
    <w:p w:rsidR="00C30BCC" w:rsidRDefault="00C30BCC" w:rsidP="00C30BCC">
      <w:pPr>
        <w:pStyle w:val="bodytext"/>
        <w:spacing w:before="120"/>
        <w:jc w:val="left"/>
        <w:rPr>
          <w:snapToGrid w:val="0"/>
        </w:rPr>
      </w:pPr>
      <w:r w:rsidRPr="00833275">
        <w:rPr>
          <w:snapToGrid w:val="0"/>
        </w:rPr>
        <w:t>Section 216.0236(1), F.S., provides that costs of providing a regulatory service or regulating a profession or business should be borne solely by those who receive the service or who are subject to regulation.</w:t>
      </w:r>
      <w:r>
        <w:rPr>
          <w:snapToGrid w:val="0"/>
        </w:rPr>
        <w:t xml:space="preserve">  </w:t>
      </w:r>
    </w:p>
    <w:p w:rsidR="00C30BCC" w:rsidRPr="00C30BCC" w:rsidRDefault="00C30BCC" w:rsidP="00C30BCC">
      <w:pPr>
        <w:pStyle w:val="bodytext"/>
        <w:numPr>
          <w:ilvl w:val="0"/>
          <w:numId w:val="17"/>
        </w:numPr>
        <w:spacing w:before="120"/>
        <w:jc w:val="left"/>
        <w:rPr>
          <w:snapToGrid w:val="0"/>
          <w:szCs w:val="24"/>
        </w:rPr>
      </w:pPr>
      <w:r>
        <w:rPr>
          <w:snapToGrid w:val="0"/>
          <w:szCs w:val="24"/>
        </w:rPr>
        <w:t>DHSMV</w:t>
      </w:r>
      <w:r w:rsidRPr="00CD4EEA">
        <w:rPr>
          <w:snapToGrid w:val="0"/>
          <w:szCs w:val="24"/>
        </w:rPr>
        <w:t xml:space="preserve"> provides a $1 million subsidy to the </w:t>
      </w:r>
      <w:r>
        <w:rPr>
          <w:snapToGrid w:val="0"/>
          <w:szCs w:val="24"/>
        </w:rPr>
        <w:t xml:space="preserve">federal </w:t>
      </w:r>
      <w:r w:rsidRPr="00CD4EEA">
        <w:rPr>
          <w:snapToGrid w:val="0"/>
          <w:szCs w:val="24"/>
        </w:rPr>
        <w:t>Mobile Home Compliance and Enforcement Program.</w:t>
      </w:r>
      <w:r>
        <w:rPr>
          <w:snapToGrid w:val="0"/>
          <w:szCs w:val="24"/>
        </w:rPr>
        <w:t xml:space="preserve">  </w:t>
      </w:r>
    </w:p>
    <w:p w:rsidR="002161AD" w:rsidRDefault="00A96CAC" w:rsidP="002161AD">
      <w:pPr>
        <w:pStyle w:val="bodytext"/>
        <w:spacing w:before="120"/>
        <w:jc w:val="left"/>
        <w:rPr>
          <w:rFonts w:ascii="Arial Black" w:hAnsi="Arial Black"/>
          <w:b/>
          <w:i/>
          <w:sz w:val="24"/>
          <w:szCs w:val="24"/>
        </w:rPr>
      </w:pPr>
      <w:r>
        <w:rPr>
          <w:rFonts w:ascii="Arial Black" w:hAnsi="Arial Black"/>
          <w:b/>
          <w:i/>
          <w:sz w:val="24"/>
          <w:szCs w:val="24"/>
        </w:rPr>
        <w:t>Options</w:t>
      </w:r>
    </w:p>
    <w:p w:rsidR="00A96CAC" w:rsidRDefault="00A96CAC" w:rsidP="002161AD">
      <w:pPr>
        <w:pStyle w:val="bodytext"/>
        <w:jc w:val="left"/>
        <w:rPr>
          <w:bCs/>
          <w:szCs w:val="18"/>
        </w:rPr>
      </w:pPr>
      <w:r w:rsidRPr="00B270F9">
        <w:rPr>
          <w:b/>
          <w:bCs/>
          <w:szCs w:val="18"/>
        </w:rPr>
        <w:t>Option 1:</w:t>
      </w:r>
      <w:r>
        <w:rPr>
          <w:bCs/>
          <w:szCs w:val="18"/>
        </w:rPr>
        <w:t xml:space="preserve">  </w:t>
      </w:r>
      <w:r w:rsidRPr="00A96CAC">
        <w:rPr>
          <w:bCs/>
          <w:szCs w:val="18"/>
        </w:rPr>
        <w:t>Continue to administer the DCA and DHSMV programs separately</w:t>
      </w:r>
      <w:r w:rsidR="00670129">
        <w:rPr>
          <w:bCs/>
          <w:szCs w:val="18"/>
        </w:rPr>
        <w:t>, using current methods of regulation.</w:t>
      </w:r>
    </w:p>
    <w:p w:rsidR="004959F8" w:rsidRDefault="00A96CAC" w:rsidP="00B270F9">
      <w:pPr>
        <w:pStyle w:val="bodytext"/>
        <w:jc w:val="left"/>
        <w:rPr>
          <w:bCs/>
          <w:szCs w:val="18"/>
        </w:rPr>
      </w:pPr>
      <w:r w:rsidRPr="00B270F9">
        <w:rPr>
          <w:b/>
          <w:bCs/>
          <w:szCs w:val="18"/>
        </w:rPr>
        <w:t>Option 2:</w:t>
      </w:r>
      <w:r>
        <w:rPr>
          <w:bCs/>
          <w:szCs w:val="18"/>
        </w:rPr>
        <w:t xml:space="preserve">  </w:t>
      </w:r>
      <w:r w:rsidRPr="00A96CAC">
        <w:rPr>
          <w:bCs/>
          <w:szCs w:val="18"/>
        </w:rPr>
        <w:t xml:space="preserve">Combine the DCA </w:t>
      </w:r>
      <w:r w:rsidR="00C30BCC">
        <w:rPr>
          <w:bCs/>
          <w:szCs w:val="18"/>
        </w:rPr>
        <w:t>and DHSMV programs under DBPR, using private entities.</w:t>
      </w:r>
    </w:p>
    <w:p w:rsidR="00C30BCC" w:rsidRDefault="00C30BCC" w:rsidP="00C30BCC">
      <w:pPr>
        <w:pStyle w:val="bodytext"/>
        <w:jc w:val="left"/>
        <w:rPr>
          <w:bCs/>
          <w:szCs w:val="18"/>
        </w:rPr>
      </w:pPr>
      <w:r w:rsidRPr="00B270F9">
        <w:rPr>
          <w:b/>
          <w:bCs/>
          <w:szCs w:val="18"/>
        </w:rPr>
        <w:t xml:space="preserve">Option </w:t>
      </w:r>
      <w:r w:rsidR="00537677">
        <w:rPr>
          <w:b/>
          <w:bCs/>
          <w:szCs w:val="18"/>
        </w:rPr>
        <w:t>3</w:t>
      </w:r>
      <w:r w:rsidRPr="00B270F9">
        <w:rPr>
          <w:b/>
          <w:bCs/>
          <w:szCs w:val="18"/>
        </w:rPr>
        <w:t>:</w:t>
      </w:r>
      <w:r>
        <w:rPr>
          <w:bCs/>
          <w:szCs w:val="18"/>
        </w:rPr>
        <w:t xml:space="preserve">  </w:t>
      </w:r>
      <w:r w:rsidRPr="00A96CAC">
        <w:rPr>
          <w:bCs/>
          <w:szCs w:val="18"/>
        </w:rPr>
        <w:t xml:space="preserve">Combine the DCA </w:t>
      </w:r>
      <w:r>
        <w:rPr>
          <w:bCs/>
          <w:szCs w:val="18"/>
        </w:rPr>
        <w:t>and DHSMV programs under DBPR, using state inspectors.</w:t>
      </w:r>
    </w:p>
    <w:p w:rsidR="00B270F9" w:rsidRDefault="00B270F9" w:rsidP="00B270F9">
      <w:pPr>
        <w:pStyle w:val="bodytext"/>
        <w:spacing w:before="120"/>
        <w:jc w:val="left"/>
        <w:rPr>
          <w:rFonts w:ascii="Arial Black" w:hAnsi="Arial Black"/>
          <w:b/>
          <w:i/>
          <w:sz w:val="24"/>
          <w:szCs w:val="24"/>
        </w:rPr>
      </w:pPr>
      <w:r>
        <w:rPr>
          <w:rFonts w:ascii="Arial Black" w:hAnsi="Arial Black"/>
          <w:b/>
          <w:i/>
          <w:sz w:val="24"/>
          <w:szCs w:val="24"/>
        </w:rPr>
        <w:t>Recommendation</w:t>
      </w:r>
    </w:p>
    <w:p w:rsidR="00B270F9" w:rsidRDefault="00B270F9" w:rsidP="00B270F9">
      <w:pPr>
        <w:pStyle w:val="bodytext"/>
        <w:jc w:val="left"/>
        <w:rPr>
          <w:bCs/>
          <w:szCs w:val="18"/>
        </w:rPr>
      </w:pPr>
      <w:r w:rsidRPr="00A96CAC">
        <w:rPr>
          <w:bCs/>
          <w:szCs w:val="18"/>
        </w:rPr>
        <w:t xml:space="preserve">Combine the DCA </w:t>
      </w:r>
      <w:r>
        <w:rPr>
          <w:bCs/>
          <w:szCs w:val="18"/>
        </w:rPr>
        <w:t>and DHSMV progra</w:t>
      </w:r>
      <w:r w:rsidR="00C328F4">
        <w:rPr>
          <w:bCs/>
          <w:szCs w:val="18"/>
        </w:rPr>
        <w:t>ms under DBPR</w:t>
      </w:r>
      <w:r w:rsidR="00E05E59">
        <w:rPr>
          <w:bCs/>
          <w:szCs w:val="18"/>
        </w:rPr>
        <w:t xml:space="preserve">, using </w:t>
      </w:r>
      <w:r w:rsidR="007D0FAA">
        <w:rPr>
          <w:bCs/>
          <w:szCs w:val="18"/>
        </w:rPr>
        <w:t>private entities</w:t>
      </w:r>
      <w:r w:rsidR="00E05E59">
        <w:rPr>
          <w:bCs/>
          <w:szCs w:val="18"/>
        </w:rPr>
        <w:t xml:space="preserve">.  </w:t>
      </w:r>
    </w:p>
    <w:p w:rsidR="007D0FAA" w:rsidRPr="00A96CAC" w:rsidRDefault="007D0FAA" w:rsidP="007D0FAA">
      <w:pPr>
        <w:pStyle w:val="bodytext"/>
        <w:numPr>
          <w:ilvl w:val="0"/>
          <w:numId w:val="17"/>
        </w:numPr>
        <w:jc w:val="left"/>
        <w:rPr>
          <w:bCs/>
          <w:szCs w:val="18"/>
        </w:rPr>
      </w:pPr>
      <w:r>
        <w:rPr>
          <w:bCs/>
          <w:szCs w:val="18"/>
        </w:rPr>
        <w:t>This will help</w:t>
      </w:r>
      <w:r w:rsidRPr="00A96CAC">
        <w:rPr>
          <w:bCs/>
          <w:szCs w:val="18"/>
        </w:rPr>
        <w:t xml:space="preserve"> streamline and maintain control of the regulation </w:t>
      </w:r>
      <w:r>
        <w:rPr>
          <w:bCs/>
          <w:szCs w:val="18"/>
        </w:rPr>
        <w:t xml:space="preserve">process and utilize the private sector contractors. </w:t>
      </w:r>
    </w:p>
    <w:p w:rsidR="00B270F9" w:rsidRPr="00A96CAC" w:rsidRDefault="00B270F9" w:rsidP="00A96CAC">
      <w:pPr>
        <w:pStyle w:val="bodytext"/>
        <w:jc w:val="left"/>
        <w:rPr>
          <w:bCs/>
          <w:szCs w:val="18"/>
        </w:rPr>
      </w:pPr>
    </w:p>
    <w:sectPr w:rsidR="00B270F9" w:rsidRPr="00A96CAC" w:rsidSect="001567C5">
      <w:type w:val="continuous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F20" w:rsidRDefault="00483F20">
      <w:r>
        <w:separator/>
      </w:r>
    </w:p>
  </w:endnote>
  <w:endnote w:type="continuationSeparator" w:id="0">
    <w:p w:rsidR="00483F20" w:rsidRDefault="00483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ZapfCalligr BT">
    <w:altName w:val="Palatino Linotype"/>
    <w:charset w:val="00"/>
    <w:family w:val="roman"/>
    <w:pitch w:val="variable"/>
    <w:sig w:usb0="00000001" w:usb1="00000000" w:usb2="00000000" w:usb3="00000000" w:csb0="0000001B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F20" w:rsidRDefault="00483F20">
      <w:r>
        <w:separator/>
      </w:r>
    </w:p>
  </w:footnote>
  <w:footnote w:type="continuationSeparator" w:id="0">
    <w:p w:rsidR="00483F20" w:rsidRDefault="00483F20">
      <w:r>
        <w:continuationSeparator/>
      </w:r>
    </w:p>
  </w:footnote>
  <w:footnote w:id="1">
    <w:p w:rsidR="00483F20" w:rsidRDefault="00483F20">
      <w:pPr>
        <w:pStyle w:val="FootnoteText"/>
      </w:pPr>
      <w:r>
        <w:rPr>
          <w:rStyle w:val="FootnoteReference"/>
        </w:rPr>
        <w:footnoteRef/>
      </w:r>
      <w:r>
        <w:t xml:space="preserve"> DHSMV’s Field Operations Bureau also license mobile home dealers.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206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265E6D"/>
    <w:multiLevelType w:val="hybridMultilevel"/>
    <w:tmpl w:val="779AC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CC3A71"/>
    <w:multiLevelType w:val="hybridMultilevel"/>
    <w:tmpl w:val="64C8B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F3789"/>
    <w:multiLevelType w:val="hybridMultilevel"/>
    <w:tmpl w:val="8410B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FC0F29"/>
    <w:multiLevelType w:val="hybridMultilevel"/>
    <w:tmpl w:val="5C941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72D76"/>
    <w:multiLevelType w:val="multilevel"/>
    <w:tmpl w:val="583421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8869C5"/>
    <w:multiLevelType w:val="singleLevel"/>
    <w:tmpl w:val="0538AC38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E4A5512"/>
    <w:multiLevelType w:val="hybridMultilevel"/>
    <w:tmpl w:val="1CC4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51DBC"/>
    <w:multiLevelType w:val="hybridMultilevel"/>
    <w:tmpl w:val="4698B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77046"/>
    <w:multiLevelType w:val="hybridMultilevel"/>
    <w:tmpl w:val="E5603A52"/>
    <w:lvl w:ilvl="0" w:tplc="0409000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10">
    <w:nsid w:val="4BB647F5"/>
    <w:multiLevelType w:val="hybridMultilevel"/>
    <w:tmpl w:val="7E40F64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03129A8"/>
    <w:multiLevelType w:val="multilevel"/>
    <w:tmpl w:val="60889CF6"/>
    <w:lvl w:ilvl="0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7F5C46"/>
    <w:multiLevelType w:val="hybridMultilevel"/>
    <w:tmpl w:val="71564BC4"/>
    <w:lvl w:ilvl="0" w:tplc="553C3B5C">
      <w:start w:val="1"/>
      <w:numFmt w:val="bullet"/>
      <w:pStyle w:val="exhibitlist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</w:rPr>
    </w:lvl>
    <w:lvl w:ilvl="1" w:tplc="CCFEBC5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F96D19"/>
    <w:multiLevelType w:val="hybridMultilevel"/>
    <w:tmpl w:val="F04AFD72"/>
    <w:lvl w:ilvl="0" w:tplc="9CE0AA0A">
      <w:start w:val="1"/>
      <w:numFmt w:val="bullet"/>
      <w:pStyle w:val="iwpbulleted"/>
      <w:lvlText w:val=""/>
      <w:lvlJc w:val="left"/>
      <w:pPr>
        <w:tabs>
          <w:tab w:val="num" w:pos="1152"/>
        </w:tabs>
        <w:ind w:left="1152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0B45B3"/>
    <w:multiLevelType w:val="hybridMultilevel"/>
    <w:tmpl w:val="43383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DCE3E54"/>
    <w:multiLevelType w:val="hybridMultilevel"/>
    <w:tmpl w:val="CD1C4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E1086E"/>
    <w:multiLevelType w:val="multilevel"/>
    <w:tmpl w:val="00FC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16"/>
  </w:num>
  <w:num w:numId="5">
    <w:abstractNumId w:val="5"/>
  </w:num>
  <w:num w:numId="6">
    <w:abstractNumId w:val="14"/>
  </w:num>
  <w:num w:numId="7">
    <w:abstractNumId w:val="6"/>
  </w:num>
  <w:num w:numId="8">
    <w:abstractNumId w:val="12"/>
  </w:num>
  <w:num w:numId="9">
    <w:abstractNumId w:val="10"/>
  </w:num>
  <w:num w:numId="10">
    <w:abstractNumId w:val="9"/>
  </w:num>
  <w:num w:numId="11">
    <w:abstractNumId w:val="1"/>
  </w:num>
  <w:num w:numId="12">
    <w:abstractNumId w:val="3"/>
  </w:num>
  <w:num w:numId="13">
    <w:abstractNumId w:val="2"/>
  </w:num>
  <w:num w:numId="14">
    <w:abstractNumId w:val="7"/>
  </w:num>
  <w:num w:numId="15">
    <w:abstractNumId w:val="15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0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6D1"/>
    <w:rsid w:val="00012CF7"/>
    <w:rsid w:val="000266CB"/>
    <w:rsid w:val="00035948"/>
    <w:rsid w:val="000421F4"/>
    <w:rsid w:val="00057E68"/>
    <w:rsid w:val="00060447"/>
    <w:rsid w:val="0009732B"/>
    <w:rsid w:val="000A79E5"/>
    <w:rsid w:val="000B27B9"/>
    <w:rsid w:val="000B784C"/>
    <w:rsid w:val="000C2795"/>
    <w:rsid w:val="000C652A"/>
    <w:rsid w:val="000D78D8"/>
    <w:rsid w:val="001145CE"/>
    <w:rsid w:val="00120707"/>
    <w:rsid w:val="00122AAF"/>
    <w:rsid w:val="00130ADB"/>
    <w:rsid w:val="00134A85"/>
    <w:rsid w:val="001567C5"/>
    <w:rsid w:val="00161B1A"/>
    <w:rsid w:val="00174B97"/>
    <w:rsid w:val="00184F9F"/>
    <w:rsid w:val="001A700D"/>
    <w:rsid w:val="001B3E03"/>
    <w:rsid w:val="001D0414"/>
    <w:rsid w:val="001D5A0F"/>
    <w:rsid w:val="001D7304"/>
    <w:rsid w:val="001E6AAF"/>
    <w:rsid w:val="001F2D6A"/>
    <w:rsid w:val="002161AD"/>
    <w:rsid w:val="002752D6"/>
    <w:rsid w:val="00291E3A"/>
    <w:rsid w:val="002E4C84"/>
    <w:rsid w:val="002E530F"/>
    <w:rsid w:val="002E53DC"/>
    <w:rsid w:val="002F55AF"/>
    <w:rsid w:val="00300216"/>
    <w:rsid w:val="00315C49"/>
    <w:rsid w:val="0032580F"/>
    <w:rsid w:val="00341DE5"/>
    <w:rsid w:val="00343161"/>
    <w:rsid w:val="00362711"/>
    <w:rsid w:val="00376D2E"/>
    <w:rsid w:val="00381A6C"/>
    <w:rsid w:val="00392136"/>
    <w:rsid w:val="0039246F"/>
    <w:rsid w:val="003926C5"/>
    <w:rsid w:val="00395A0A"/>
    <w:rsid w:val="003A26D1"/>
    <w:rsid w:val="003A3DF7"/>
    <w:rsid w:val="003A67AE"/>
    <w:rsid w:val="003C2FBD"/>
    <w:rsid w:val="003D1AAD"/>
    <w:rsid w:val="003E3634"/>
    <w:rsid w:val="003E7A2F"/>
    <w:rsid w:val="003F037A"/>
    <w:rsid w:val="00401DE9"/>
    <w:rsid w:val="0044501D"/>
    <w:rsid w:val="00483F20"/>
    <w:rsid w:val="00484528"/>
    <w:rsid w:val="00485EE1"/>
    <w:rsid w:val="004959F8"/>
    <w:rsid w:val="004A6C2F"/>
    <w:rsid w:val="004D65A5"/>
    <w:rsid w:val="004E28E7"/>
    <w:rsid w:val="00502CFE"/>
    <w:rsid w:val="00504988"/>
    <w:rsid w:val="00537677"/>
    <w:rsid w:val="00537AB6"/>
    <w:rsid w:val="00552867"/>
    <w:rsid w:val="005816A7"/>
    <w:rsid w:val="005B0DB8"/>
    <w:rsid w:val="005B1235"/>
    <w:rsid w:val="005D4488"/>
    <w:rsid w:val="005D714D"/>
    <w:rsid w:val="00643DB9"/>
    <w:rsid w:val="0064508D"/>
    <w:rsid w:val="00646B06"/>
    <w:rsid w:val="00650498"/>
    <w:rsid w:val="00670129"/>
    <w:rsid w:val="006921C7"/>
    <w:rsid w:val="00695A2D"/>
    <w:rsid w:val="006A4C75"/>
    <w:rsid w:val="006C5632"/>
    <w:rsid w:val="006E3469"/>
    <w:rsid w:val="00701229"/>
    <w:rsid w:val="00702BAD"/>
    <w:rsid w:val="007047C4"/>
    <w:rsid w:val="00735639"/>
    <w:rsid w:val="00737F22"/>
    <w:rsid w:val="00741C4E"/>
    <w:rsid w:val="007532B3"/>
    <w:rsid w:val="00753CEB"/>
    <w:rsid w:val="00792FAE"/>
    <w:rsid w:val="0079433D"/>
    <w:rsid w:val="007A1D78"/>
    <w:rsid w:val="007A4C69"/>
    <w:rsid w:val="007C6CDA"/>
    <w:rsid w:val="007C6FA8"/>
    <w:rsid w:val="007C72AF"/>
    <w:rsid w:val="007D0FAA"/>
    <w:rsid w:val="007D53DA"/>
    <w:rsid w:val="007E6B00"/>
    <w:rsid w:val="00814400"/>
    <w:rsid w:val="00824022"/>
    <w:rsid w:val="00832891"/>
    <w:rsid w:val="00833275"/>
    <w:rsid w:val="0084231D"/>
    <w:rsid w:val="0084253F"/>
    <w:rsid w:val="008442DA"/>
    <w:rsid w:val="00857CA7"/>
    <w:rsid w:val="00861F8D"/>
    <w:rsid w:val="00871B6C"/>
    <w:rsid w:val="00871DFB"/>
    <w:rsid w:val="00872E10"/>
    <w:rsid w:val="00873A4C"/>
    <w:rsid w:val="00874982"/>
    <w:rsid w:val="008917D1"/>
    <w:rsid w:val="00893D96"/>
    <w:rsid w:val="008964B1"/>
    <w:rsid w:val="008965EF"/>
    <w:rsid w:val="008B0286"/>
    <w:rsid w:val="008F142D"/>
    <w:rsid w:val="0090477A"/>
    <w:rsid w:val="009142FC"/>
    <w:rsid w:val="00931FCC"/>
    <w:rsid w:val="00952A7B"/>
    <w:rsid w:val="0098329B"/>
    <w:rsid w:val="00983683"/>
    <w:rsid w:val="009A73A2"/>
    <w:rsid w:val="009F5801"/>
    <w:rsid w:val="00A1218B"/>
    <w:rsid w:val="00A1289A"/>
    <w:rsid w:val="00A24248"/>
    <w:rsid w:val="00A26889"/>
    <w:rsid w:val="00A4561F"/>
    <w:rsid w:val="00A54FE5"/>
    <w:rsid w:val="00A60841"/>
    <w:rsid w:val="00A63CD5"/>
    <w:rsid w:val="00A6713A"/>
    <w:rsid w:val="00A823BF"/>
    <w:rsid w:val="00A945E3"/>
    <w:rsid w:val="00A959B9"/>
    <w:rsid w:val="00A96CAC"/>
    <w:rsid w:val="00AD142E"/>
    <w:rsid w:val="00AD5B39"/>
    <w:rsid w:val="00AD7723"/>
    <w:rsid w:val="00AE3CC4"/>
    <w:rsid w:val="00B246D1"/>
    <w:rsid w:val="00B270F9"/>
    <w:rsid w:val="00B35A66"/>
    <w:rsid w:val="00B47E3A"/>
    <w:rsid w:val="00B503D6"/>
    <w:rsid w:val="00B756D5"/>
    <w:rsid w:val="00B854C4"/>
    <w:rsid w:val="00B905D2"/>
    <w:rsid w:val="00B921C0"/>
    <w:rsid w:val="00B95CAB"/>
    <w:rsid w:val="00B960C6"/>
    <w:rsid w:val="00BA5E4B"/>
    <w:rsid w:val="00BA7B10"/>
    <w:rsid w:val="00BB76EF"/>
    <w:rsid w:val="00C22FFC"/>
    <w:rsid w:val="00C30BCC"/>
    <w:rsid w:val="00C328F4"/>
    <w:rsid w:val="00C378D3"/>
    <w:rsid w:val="00C5508D"/>
    <w:rsid w:val="00C63EC4"/>
    <w:rsid w:val="00C730E1"/>
    <w:rsid w:val="00C759DA"/>
    <w:rsid w:val="00CA122A"/>
    <w:rsid w:val="00CC2EE2"/>
    <w:rsid w:val="00CD0DAC"/>
    <w:rsid w:val="00CD207A"/>
    <w:rsid w:val="00CD3244"/>
    <w:rsid w:val="00CE0E2E"/>
    <w:rsid w:val="00CF2E75"/>
    <w:rsid w:val="00D11537"/>
    <w:rsid w:val="00D25894"/>
    <w:rsid w:val="00D2645D"/>
    <w:rsid w:val="00D3323F"/>
    <w:rsid w:val="00D51F0A"/>
    <w:rsid w:val="00D60DA0"/>
    <w:rsid w:val="00D61CAF"/>
    <w:rsid w:val="00D816A9"/>
    <w:rsid w:val="00D863CF"/>
    <w:rsid w:val="00D87D25"/>
    <w:rsid w:val="00DA15D3"/>
    <w:rsid w:val="00DA5155"/>
    <w:rsid w:val="00DB63EB"/>
    <w:rsid w:val="00DE1953"/>
    <w:rsid w:val="00DE6CA4"/>
    <w:rsid w:val="00E05E59"/>
    <w:rsid w:val="00E13171"/>
    <w:rsid w:val="00E350E0"/>
    <w:rsid w:val="00E36D6C"/>
    <w:rsid w:val="00E469F9"/>
    <w:rsid w:val="00E8286E"/>
    <w:rsid w:val="00E846B5"/>
    <w:rsid w:val="00E875B8"/>
    <w:rsid w:val="00EA292D"/>
    <w:rsid w:val="00EA5F95"/>
    <w:rsid w:val="00EB28CC"/>
    <w:rsid w:val="00ED0F2E"/>
    <w:rsid w:val="00EF22B0"/>
    <w:rsid w:val="00F01752"/>
    <w:rsid w:val="00F07D38"/>
    <w:rsid w:val="00F1490B"/>
    <w:rsid w:val="00F20884"/>
    <w:rsid w:val="00F241C3"/>
    <w:rsid w:val="00F25245"/>
    <w:rsid w:val="00F803AE"/>
    <w:rsid w:val="00F83E66"/>
    <w:rsid w:val="00FB77C3"/>
    <w:rsid w:val="00FD3C06"/>
    <w:rsid w:val="00FE1739"/>
    <w:rsid w:val="00FF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508D"/>
    <w:rPr>
      <w:sz w:val="24"/>
      <w:szCs w:val="24"/>
    </w:rPr>
  </w:style>
  <w:style w:type="paragraph" w:styleId="Heading3">
    <w:name w:val="heading 3"/>
    <w:basedOn w:val="Normal"/>
    <w:next w:val="Normal"/>
    <w:qFormat/>
    <w:rsid w:val="00C5508D"/>
    <w:pPr>
      <w:keepNext/>
      <w:ind w:left="432"/>
      <w:outlineLvl w:val="2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wpheading">
    <w:name w:val="iwp heading"/>
    <w:basedOn w:val="Normal"/>
    <w:rsid w:val="00695A2D"/>
    <w:pPr>
      <w:spacing w:before="60"/>
    </w:pPr>
    <w:rPr>
      <w:rFonts w:ascii="Arial" w:hAnsi="Arial" w:cs="Arial"/>
      <w:b/>
      <w:bCs/>
      <w:caps/>
      <w:sz w:val="20"/>
    </w:rPr>
  </w:style>
  <w:style w:type="paragraph" w:customStyle="1" w:styleId="iwptext">
    <w:name w:val="iwp text"/>
    <w:basedOn w:val="Normal"/>
    <w:rsid w:val="007047C4"/>
    <w:pPr>
      <w:ind w:firstLine="432"/>
    </w:pPr>
  </w:style>
  <w:style w:type="paragraph" w:customStyle="1" w:styleId="iwpbulleted">
    <w:name w:val="iwp bulleted"/>
    <w:basedOn w:val="iwptext"/>
    <w:rsid w:val="008F142D"/>
    <w:pPr>
      <w:numPr>
        <w:numId w:val="1"/>
      </w:numPr>
    </w:pPr>
  </w:style>
  <w:style w:type="paragraph" w:customStyle="1" w:styleId="bodytext">
    <w:name w:val="body text"/>
    <w:basedOn w:val="Normal"/>
    <w:link w:val="bodytextChar1"/>
    <w:rsid w:val="00F803AE"/>
    <w:pPr>
      <w:tabs>
        <w:tab w:val="left" w:pos="9000"/>
      </w:tabs>
      <w:spacing w:after="120"/>
      <w:jc w:val="both"/>
    </w:pPr>
    <w:rPr>
      <w:rFonts w:ascii="ZapfCalligr BT" w:hAnsi="ZapfCalligr BT"/>
      <w:sz w:val="22"/>
      <w:szCs w:val="20"/>
    </w:rPr>
  </w:style>
  <w:style w:type="character" w:customStyle="1" w:styleId="bodytextChar1">
    <w:name w:val="body text Char1"/>
    <w:basedOn w:val="DefaultParagraphFont"/>
    <w:link w:val="bodytext"/>
    <w:rsid w:val="00F803AE"/>
    <w:rPr>
      <w:rFonts w:ascii="ZapfCalligr BT" w:hAnsi="ZapfCalligr BT"/>
      <w:sz w:val="22"/>
    </w:rPr>
  </w:style>
  <w:style w:type="paragraph" w:styleId="ListBullet">
    <w:name w:val="List Bullet"/>
    <w:basedOn w:val="Normal"/>
    <w:rsid w:val="00502CFE"/>
    <w:pPr>
      <w:numPr>
        <w:numId w:val="7"/>
      </w:numPr>
      <w:spacing w:after="60"/>
    </w:pPr>
    <w:rPr>
      <w:snapToGrid w:val="0"/>
      <w:szCs w:val="20"/>
    </w:rPr>
  </w:style>
  <w:style w:type="character" w:styleId="FootnoteReference">
    <w:name w:val="footnote reference"/>
    <w:rsid w:val="00502CFE"/>
    <w:rPr>
      <w:rFonts w:ascii="Times New Roman" w:hAnsi="Times New Roman"/>
      <w:sz w:val="22"/>
      <w:vertAlign w:val="superscript"/>
    </w:rPr>
  </w:style>
  <w:style w:type="character" w:styleId="Hyperlink">
    <w:name w:val="Hyperlink"/>
    <w:basedOn w:val="DefaultParagraphFont"/>
    <w:rsid w:val="00502CFE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502CFE"/>
    <w:pPr>
      <w:widowControl w:val="0"/>
      <w:spacing w:before="60" w:line="228" w:lineRule="auto"/>
      <w:ind w:left="115" w:hanging="115"/>
      <w:jc w:val="both"/>
    </w:pPr>
    <w:rPr>
      <w:snapToGrid w:val="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502CFE"/>
    <w:rPr>
      <w:snapToGrid w:val="0"/>
      <w:sz w:val="18"/>
    </w:rPr>
  </w:style>
  <w:style w:type="paragraph" w:customStyle="1" w:styleId="Source">
    <w:name w:val="Source"/>
    <w:basedOn w:val="Normal"/>
    <w:next w:val="bodytext"/>
    <w:rsid w:val="00502CFE"/>
    <w:pPr>
      <w:spacing w:before="60" w:after="360"/>
    </w:pPr>
    <w:rPr>
      <w:sz w:val="16"/>
      <w:szCs w:val="20"/>
    </w:rPr>
  </w:style>
  <w:style w:type="paragraph" w:customStyle="1" w:styleId="exhibittitle">
    <w:name w:val="exhibit title"/>
    <w:basedOn w:val="Normal"/>
    <w:next w:val="exhibitheadings"/>
    <w:link w:val="exhibittitleChar"/>
    <w:rsid w:val="00502CFE"/>
    <w:pPr>
      <w:keepNext/>
      <w:keepLines/>
      <w:spacing w:before="100" w:after="40" w:line="228" w:lineRule="auto"/>
    </w:pPr>
    <w:rPr>
      <w:rFonts w:ascii="Swis721 Cn BT" w:hAnsi="Swis721 Cn BT"/>
      <w:b/>
      <w:snapToGrid w:val="0"/>
      <w:szCs w:val="20"/>
    </w:rPr>
  </w:style>
  <w:style w:type="paragraph" w:customStyle="1" w:styleId="exhibitheadings">
    <w:name w:val="exhibit headings"/>
    <w:basedOn w:val="Normal"/>
    <w:next w:val="Normal"/>
    <w:rsid w:val="00502CFE"/>
    <w:rPr>
      <w:rFonts w:ascii="Swis721 Cn BT" w:hAnsi="Swis721 Cn BT"/>
      <w:b/>
      <w:sz w:val="20"/>
      <w:szCs w:val="20"/>
    </w:rPr>
  </w:style>
  <w:style w:type="character" w:customStyle="1" w:styleId="exhibittitleChar">
    <w:name w:val="exhibit title Char"/>
    <w:basedOn w:val="DefaultParagraphFont"/>
    <w:link w:val="exhibittitle"/>
    <w:rsid w:val="00502CFE"/>
    <w:rPr>
      <w:rFonts w:ascii="Swis721 Cn BT" w:hAnsi="Swis721 Cn BT"/>
      <w:b/>
      <w:snapToGrid w:val="0"/>
      <w:sz w:val="24"/>
    </w:rPr>
  </w:style>
  <w:style w:type="character" w:styleId="Emphasis">
    <w:name w:val="Emphasis"/>
    <w:qFormat/>
    <w:rsid w:val="00502CFE"/>
    <w:rPr>
      <w:rFonts w:ascii="Arial Black" w:hAnsi="Arial Black"/>
      <w:sz w:val="18"/>
    </w:rPr>
  </w:style>
  <w:style w:type="paragraph" w:customStyle="1" w:styleId="exhibittext">
    <w:name w:val="exhibit text"/>
    <w:basedOn w:val="Normal"/>
    <w:rsid w:val="00502CFE"/>
    <w:rPr>
      <w:rFonts w:ascii="Swis721 Cn BT" w:hAnsi="Swis721 Cn BT"/>
      <w:sz w:val="18"/>
      <w:szCs w:val="20"/>
    </w:rPr>
  </w:style>
  <w:style w:type="paragraph" w:customStyle="1" w:styleId="exhibitlistbullet">
    <w:name w:val="exhibit list bullet"/>
    <w:basedOn w:val="ListBullet"/>
    <w:rsid w:val="00502CFE"/>
    <w:pPr>
      <w:numPr>
        <w:numId w:val="8"/>
      </w:numPr>
      <w:spacing w:line="228" w:lineRule="auto"/>
    </w:pPr>
    <w:rPr>
      <w:rFonts w:ascii="Swis721 Cn BT" w:hAnsi="Swis721 Cn BT"/>
      <w:sz w:val="18"/>
    </w:rPr>
  </w:style>
  <w:style w:type="paragraph" w:styleId="BalloonText">
    <w:name w:val="Balloon Text"/>
    <w:basedOn w:val="Normal"/>
    <w:link w:val="BalloonTextChar"/>
    <w:rsid w:val="00DE6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6C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E6C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9A73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73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A73A2"/>
  </w:style>
  <w:style w:type="paragraph" w:styleId="CommentSubject">
    <w:name w:val="annotation subject"/>
    <w:basedOn w:val="CommentText"/>
    <w:next w:val="CommentText"/>
    <w:link w:val="CommentSubjectChar"/>
    <w:rsid w:val="009A7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A73A2"/>
    <w:rPr>
      <w:b/>
      <w:bCs/>
    </w:rPr>
  </w:style>
  <w:style w:type="paragraph" w:styleId="Revision">
    <w:name w:val="Revision"/>
    <w:hidden/>
    <w:uiPriority w:val="99"/>
    <w:semiHidden/>
    <w:rsid w:val="007C72A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templates\Interim%20Work%20Plan.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4186A-ECB4-4ABD-B112-1C0096B9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Interim Work Plan.S.dot</Template>
  <TotalTime>195</TotalTime>
  <Pages>4</Pages>
  <Words>1201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iwp 2010 000</vt:lpstr>
    </vt:vector>
  </TitlesOfParts>
  <Company>Florida Legislature</Company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iwp 2010 000</dc:title>
  <dc:subject/>
  <dc:creator>Florida Legislature</dc:creator>
  <cp:keywords/>
  <dc:description/>
  <cp:lastModifiedBy>GILREATH.DEBBIE</cp:lastModifiedBy>
  <cp:revision>20</cp:revision>
  <cp:lastPrinted>2010-02-09T16:51:00Z</cp:lastPrinted>
  <dcterms:created xsi:type="dcterms:W3CDTF">2009-11-17T19:00:00Z</dcterms:created>
  <dcterms:modified xsi:type="dcterms:W3CDTF">2010-02-10T21:53:00Z</dcterms:modified>
</cp:coreProperties>
</file>