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FE" w:rsidRDefault="00221482" w:rsidP="00DA15D3">
      <w:pPr>
        <w:pStyle w:val="bodytext"/>
        <w:spacing w:before="120"/>
        <w:jc w:val="center"/>
        <w:rPr>
          <w:rFonts w:ascii="Arial Black" w:hAnsi="Arial Black"/>
          <w:b/>
          <w:i/>
          <w:sz w:val="24"/>
          <w:szCs w:val="24"/>
        </w:rPr>
      </w:pPr>
      <w:r>
        <w:rPr>
          <w:rFonts w:ascii="Arial Black" w:hAnsi="Arial Black"/>
          <w:b/>
          <w:i/>
          <w:sz w:val="24"/>
          <w:szCs w:val="24"/>
        </w:rPr>
        <w:t>Division of Emergency Management</w:t>
      </w:r>
      <w:r w:rsidR="00DA15D3">
        <w:rPr>
          <w:rFonts w:ascii="Arial Black" w:hAnsi="Arial Black"/>
          <w:b/>
          <w:i/>
          <w:sz w:val="24"/>
          <w:szCs w:val="24"/>
        </w:rPr>
        <w:br/>
      </w:r>
      <w:r w:rsidR="00EC152B">
        <w:rPr>
          <w:rFonts w:ascii="Arial Black" w:hAnsi="Arial Black"/>
          <w:b/>
          <w:i/>
          <w:sz w:val="24"/>
          <w:szCs w:val="24"/>
        </w:rPr>
        <w:t>Hazard Mitigation</w:t>
      </w:r>
    </w:p>
    <w:p w:rsidR="00F803AE" w:rsidRPr="00173DCB" w:rsidRDefault="00F803AE" w:rsidP="00DA15D3">
      <w:pPr>
        <w:pStyle w:val="bodytext"/>
        <w:spacing w:before="120"/>
        <w:jc w:val="center"/>
      </w:pPr>
    </w:p>
    <w:p w:rsidR="00F803AE" w:rsidRDefault="00F803AE" w:rsidP="001D0414">
      <w:pPr>
        <w:pStyle w:val="bodytext"/>
        <w:spacing w:before="120"/>
        <w:jc w:val="left"/>
        <w:rPr>
          <w:rFonts w:ascii="Arial Black" w:hAnsi="Arial Black"/>
          <w:b/>
          <w:i/>
          <w:sz w:val="24"/>
          <w:szCs w:val="24"/>
        </w:rPr>
      </w:pPr>
      <w:r>
        <w:rPr>
          <w:rFonts w:ascii="Arial Black" w:hAnsi="Arial Black"/>
          <w:b/>
          <w:i/>
          <w:sz w:val="24"/>
          <w:szCs w:val="24"/>
        </w:rPr>
        <w:t>Policy Issue</w:t>
      </w:r>
    </w:p>
    <w:p w:rsidR="00F803AE" w:rsidRDefault="00F803AE" w:rsidP="001D0414">
      <w:pPr>
        <w:pStyle w:val="bodytext"/>
        <w:spacing w:before="120"/>
        <w:jc w:val="left"/>
      </w:pPr>
      <w:r>
        <w:t xml:space="preserve">Should </w:t>
      </w:r>
      <w:r w:rsidR="00DE6CA4">
        <w:t xml:space="preserve">there be one state </w:t>
      </w:r>
      <w:r w:rsidR="00D0285D">
        <w:t>entity</w:t>
      </w:r>
      <w:r w:rsidR="00DE6CA4">
        <w:t xml:space="preserve"> that is in charge of </w:t>
      </w:r>
      <w:r w:rsidR="00221482">
        <w:t xml:space="preserve">hazard </w:t>
      </w:r>
      <w:r w:rsidR="00D0285D">
        <w:t>mitigation</w:t>
      </w:r>
      <w:r>
        <w:t>?</w:t>
      </w:r>
    </w:p>
    <w:p w:rsidR="00F803AE" w:rsidRDefault="00F803AE" w:rsidP="001D0414">
      <w:pPr>
        <w:pStyle w:val="bodytext"/>
        <w:spacing w:before="120"/>
        <w:jc w:val="left"/>
        <w:rPr>
          <w:rFonts w:ascii="Arial Black" w:hAnsi="Arial Black"/>
          <w:b/>
          <w:i/>
          <w:sz w:val="24"/>
          <w:szCs w:val="24"/>
        </w:rPr>
      </w:pPr>
      <w:r w:rsidRPr="00906FB6">
        <w:rPr>
          <w:rFonts w:ascii="Arial Black" w:hAnsi="Arial Black"/>
          <w:b/>
          <w:i/>
          <w:sz w:val="24"/>
          <w:szCs w:val="24"/>
        </w:rPr>
        <w:t>Background</w:t>
      </w:r>
    </w:p>
    <w:p w:rsidR="007A045C" w:rsidRPr="00651237" w:rsidRDefault="00FC1110" w:rsidP="00651237">
      <w:pPr>
        <w:pStyle w:val="bodytext"/>
        <w:spacing w:before="120"/>
        <w:jc w:val="left"/>
      </w:pPr>
      <w:r w:rsidRPr="00173DCB">
        <w:rPr>
          <w:sz w:val="20"/>
        </w:rPr>
        <w:t xml:space="preserve">There are </w:t>
      </w:r>
      <w:r w:rsidR="001F16BA" w:rsidRPr="00173DCB">
        <w:rPr>
          <w:sz w:val="20"/>
        </w:rPr>
        <w:t>two state agencies that administer residential mitigation programs</w:t>
      </w:r>
      <w:r w:rsidR="00173DCB" w:rsidRPr="00173DCB">
        <w:rPr>
          <w:sz w:val="20"/>
        </w:rPr>
        <w:t>.</w:t>
      </w:r>
      <w:r w:rsidRPr="00173DCB">
        <w:rPr>
          <w:sz w:val="20"/>
        </w:rPr>
        <w:t xml:space="preserve">  </w:t>
      </w:r>
      <w:r w:rsidR="007A045C" w:rsidRPr="00173DCB">
        <w:rPr>
          <w:sz w:val="20"/>
        </w:rPr>
        <w:t xml:space="preserve">The Division of Emergency Management </w:t>
      </w:r>
      <w:r w:rsidR="00231D56">
        <w:rPr>
          <w:sz w:val="20"/>
        </w:rPr>
        <w:t xml:space="preserve">(DEM) </w:t>
      </w:r>
      <w:r w:rsidR="007A045C" w:rsidRPr="00173DCB">
        <w:rPr>
          <w:sz w:val="20"/>
        </w:rPr>
        <w:t xml:space="preserve">administers </w:t>
      </w:r>
      <w:r w:rsidR="00B91E6C" w:rsidRPr="00173DCB">
        <w:rPr>
          <w:sz w:val="20"/>
        </w:rPr>
        <w:t xml:space="preserve">several federal and state programs designed to reduce </w:t>
      </w:r>
      <w:r w:rsidR="007A045C" w:rsidRPr="00173DCB">
        <w:rPr>
          <w:sz w:val="20"/>
        </w:rPr>
        <w:t>or eliminate long-term risk to human life and property from disasters by reducing the impact of future disasters</w:t>
      </w:r>
      <w:r w:rsidR="00173DCB" w:rsidRPr="00173DCB">
        <w:rPr>
          <w:sz w:val="20"/>
        </w:rPr>
        <w:t xml:space="preserve"> (see table</w:t>
      </w:r>
      <w:r w:rsidR="00063291" w:rsidRPr="00173DCB">
        <w:rPr>
          <w:sz w:val="20"/>
        </w:rPr>
        <w:t>)</w:t>
      </w:r>
      <w:r w:rsidR="007A045C" w:rsidRPr="00173DCB">
        <w:rPr>
          <w:sz w:val="20"/>
        </w:rPr>
        <w:t xml:space="preserve">. </w:t>
      </w:r>
      <w:r w:rsidR="00B91E6C" w:rsidRPr="00173DCB">
        <w:rPr>
          <w:sz w:val="20"/>
        </w:rPr>
        <w:t xml:space="preserve">DEM also provides funding to Tallahassee Community College </w:t>
      </w:r>
      <w:r w:rsidR="00F01E3B">
        <w:rPr>
          <w:sz w:val="20"/>
        </w:rPr>
        <w:t>(</w:t>
      </w:r>
      <w:r w:rsidR="00231D56">
        <w:rPr>
          <w:sz w:val="20"/>
        </w:rPr>
        <w:t xml:space="preserve">TCC) </w:t>
      </w:r>
      <w:r w:rsidR="00B91E6C" w:rsidRPr="00173DCB">
        <w:rPr>
          <w:sz w:val="20"/>
        </w:rPr>
        <w:t xml:space="preserve">to operate the Mobile Home Tie-Down Program.   </w:t>
      </w:r>
      <w:r w:rsidRPr="00173DCB">
        <w:rPr>
          <w:sz w:val="20"/>
        </w:rPr>
        <w:t xml:space="preserve">The </w:t>
      </w:r>
      <w:r w:rsidR="007A045C" w:rsidRPr="00173DCB">
        <w:rPr>
          <w:sz w:val="20"/>
        </w:rPr>
        <w:t xml:space="preserve">Department of Financial Services </w:t>
      </w:r>
      <w:r w:rsidR="001F16BA" w:rsidRPr="00173DCB">
        <w:rPr>
          <w:sz w:val="20"/>
        </w:rPr>
        <w:t>administers the My Safe Florida Home Program</w:t>
      </w:r>
      <w:r w:rsidR="00231D56">
        <w:rPr>
          <w:sz w:val="20"/>
        </w:rPr>
        <w:t xml:space="preserve"> (MSFH)</w:t>
      </w:r>
      <w:r w:rsidR="001F16BA" w:rsidRPr="00173DCB">
        <w:rPr>
          <w:sz w:val="20"/>
        </w:rPr>
        <w:t>.</w:t>
      </w:r>
      <w:r w:rsidR="007A045C" w:rsidRPr="00651237">
        <w:t xml:space="preserve"> </w:t>
      </w:r>
      <w:r w:rsidR="003C0B51">
        <w:rPr>
          <w:rStyle w:val="FootnoteReference"/>
          <w:szCs w:val="22"/>
        </w:rPr>
        <w:footnoteReference w:id="1"/>
      </w:r>
    </w:p>
    <w:p w:rsidR="000B7CF6" w:rsidRPr="00B91E6C" w:rsidRDefault="00651237" w:rsidP="000B7CF6">
      <w:pPr>
        <w:pStyle w:val="bodytext"/>
        <w:jc w:val="left"/>
        <w:rPr>
          <w:rStyle w:val="Emphasis"/>
          <w:sz w:val="20"/>
        </w:rPr>
      </w:pPr>
      <w:r w:rsidRPr="00B91E6C">
        <w:rPr>
          <w:rStyle w:val="Emphasis"/>
          <w:sz w:val="20"/>
        </w:rPr>
        <w:t>D</w:t>
      </w:r>
      <w:r w:rsidR="000B7CF6" w:rsidRPr="00B91E6C">
        <w:rPr>
          <w:rStyle w:val="Emphasis"/>
          <w:sz w:val="20"/>
        </w:rPr>
        <w:t>ivision of Emergency Management</w:t>
      </w:r>
    </w:p>
    <w:p w:rsidR="00063291" w:rsidRPr="00173DCB" w:rsidRDefault="00063291" w:rsidP="00063291">
      <w:pPr>
        <w:pStyle w:val="bodytext"/>
        <w:spacing w:before="120"/>
        <w:jc w:val="left"/>
        <w:rPr>
          <w:sz w:val="20"/>
        </w:rPr>
      </w:pPr>
      <w:r w:rsidRPr="00173DCB">
        <w:rPr>
          <w:b/>
          <w:sz w:val="20"/>
        </w:rPr>
        <w:t>Pre-Disaster Mitigation Program</w:t>
      </w:r>
      <w:r w:rsidRPr="00173DCB">
        <w:rPr>
          <w:sz w:val="20"/>
        </w:rPr>
        <w:t xml:space="preserve"> - The Pre-Disaster Mitigation Program is a competitive federal grant program developed to assist state, local, and tribal governments in planning and implementing cost-effective hazard mitigation activities prior to disasters. The intent of the program is to reduce overall risk to people and property while also minimizing the cost of disaster recovery. Only the state emergency management agency or a similar office assigned the primary responsibility of emergency management may apply to FEMA for funding under this program. DEM reviews submitted projects to verify appropriateness, consistency with state and local mitigation strategies, cost-benefit, eligibility, and completeness before submitting the project to FEMA. </w:t>
      </w:r>
    </w:p>
    <w:p w:rsidR="001B23C2" w:rsidRPr="00173DCB" w:rsidRDefault="001B23C2" w:rsidP="005B6D51">
      <w:pPr>
        <w:pStyle w:val="bodytext"/>
        <w:spacing w:before="120"/>
        <w:jc w:val="left"/>
        <w:rPr>
          <w:sz w:val="20"/>
        </w:rPr>
      </w:pPr>
      <w:r w:rsidRPr="00173DCB">
        <w:rPr>
          <w:b/>
          <w:sz w:val="20"/>
        </w:rPr>
        <w:t>Residential Construction Mitigation Program</w:t>
      </w:r>
      <w:r w:rsidRPr="00173DCB">
        <w:rPr>
          <w:sz w:val="20"/>
        </w:rPr>
        <w:t xml:space="preserve"> - The Residential Construction Mitigation Program (RCMP) usually receives $7 million out of a total of $10 million annual appropriation from the Florida Hurricane Catastrophe Fund. </w:t>
      </w:r>
      <w:r w:rsidR="0020248E" w:rsidRPr="00173DCB">
        <w:rPr>
          <w:sz w:val="20"/>
        </w:rPr>
        <w:t xml:space="preserve">Florida Statutes prescribe that </w:t>
      </w:r>
      <w:r w:rsidR="0020248E">
        <w:rPr>
          <w:sz w:val="20"/>
        </w:rPr>
        <w:t>f</w:t>
      </w:r>
      <w:r w:rsidR="003C0B51" w:rsidRPr="00173DCB">
        <w:rPr>
          <w:sz w:val="20"/>
        </w:rPr>
        <w:t xml:space="preserve">ifty percent ($3.5 million) is designated for the improvement of residential homes wind resistance. The wind resistance program </w:t>
      </w:r>
      <w:r w:rsidR="0020248E">
        <w:rPr>
          <w:sz w:val="20"/>
        </w:rPr>
        <w:t>provides competitive grants for mitigation, education, and public outreach</w:t>
      </w:r>
      <w:r w:rsidR="003C0B51" w:rsidRPr="00173DCB">
        <w:rPr>
          <w:sz w:val="20"/>
        </w:rPr>
        <w:t xml:space="preserve">. DEM acts as the state administrative agency in disbursing appropriated funds according to Florida Statute. </w:t>
      </w:r>
      <w:r w:rsidR="001F16BA" w:rsidRPr="00173DCB">
        <w:rPr>
          <w:sz w:val="20"/>
        </w:rPr>
        <w:t xml:space="preserve"> </w:t>
      </w:r>
      <w:r w:rsidR="0020248E">
        <w:rPr>
          <w:sz w:val="20"/>
        </w:rPr>
        <w:t>Forty</w:t>
      </w:r>
      <w:r w:rsidRPr="00173DCB">
        <w:rPr>
          <w:sz w:val="20"/>
        </w:rPr>
        <w:t xml:space="preserve"> percent of the $7 million ($2.8 million) </w:t>
      </w:r>
      <w:r w:rsidR="0020248E">
        <w:rPr>
          <w:sz w:val="20"/>
        </w:rPr>
        <w:t>is</w:t>
      </w:r>
      <w:r w:rsidRPr="00173DCB">
        <w:rPr>
          <w:sz w:val="20"/>
        </w:rPr>
        <w:t xml:space="preserve"> designated for the Mobile Home Tie-Down Program. DEM provides this funding directly t</w:t>
      </w:r>
      <w:r w:rsidR="0020248E">
        <w:rPr>
          <w:sz w:val="20"/>
        </w:rPr>
        <w:t>o Tallahassee Community College</w:t>
      </w:r>
      <w:r w:rsidR="006B24F2" w:rsidRPr="00173DCB">
        <w:rPr>
          <w:sz w:val="20"/>
        </w:rPr>
        <w:t xml:space="preserve"> </w:t>
      </w:r>
      <w:r w:rsidRPr="00173DCB">
        <w:rPr>
          <w:sz w:val="20"/>
        </w:rPr>
        <w:t xml:space="preserve">to operate the tie-down program. </w:t>
      </w:r>
      <w:r w:rsidR="00E83BC4" w:rsidRPr="00173DCB">
        <w:rPr>
          <w:sz w:val="20"/>
        </w:rPr>
        <w:t>Since October 2006, 6,065 homes have been</w:t>
      </w:r>
      <w:r w:rsidR="003C0B51" w:rsidRPr="00173DCB">
        <w:rPr>
          <w:sz w:val="20"/>
        </w:rPr>
        <w:t xml:space="preserve"> retro-fitted with new foundation systems by the program.</w:t>
      </w:r>
      <w:r w:rsidR="0020248E">
        <w:rPr>
          <w:sz w:val="20"/>
        </w:rPr>
        <w:t xml:space="preserve"> The remaining</w:t>
      </w:r>
      <w:r w:rsidRPr="00173DCB">
        <w:rPr>
          <w:sz w:val="20"/>
        </w:rPr>
        <w:t xml:space="preserve"> 10 percent ($700,000) is designated for hurricane research conducted by Florida Internati</w:t>
      </w:r>
      <w:r w:rsidR="0020248E">
        <w:rPr>
          <w:sz w:val="20"/>
        </w:rPr>
        <w:t xml:space="preserve">onal University. </w:t>
      </w:r>
    </w:p>
    <w:p w:rsidR="001F16BA" w:rsidRDefault="001F16BA" w:rsidP="001F16BA">
      <w:pPr>
        <w:pStyle w:val="bodytext"/>
        <w:spacing w:before="120"/>
        <w:jc w:val="left"/>
        <w:rPr>
          <w:szCs w:val="22"/>
        </w:rPr>
      </w:pPr>
      <w:r w:rsidRPr="00173DCB">
        <w:rPr>
          <w:b/>
          <w:sz w:val="20"/>
        </w:rPr>
        <w:t>Hazard Mitigation Grant Program</w:t>
      </w:r>
      <w:r w:rsidRPr="00173DCB">
        <w:rPr>
          <w:sz w:val="20"/>
        </w:rPr>
        <w:t xml:space="preserve"> - This program is disaster driven, in other words, funds are only available after a declared (major) disaster event. The funding is based on a percentage of Public Assistance and Individual Assistance award amounts. Florida has an Enhanced Hazard Mitigation Plan that has been accepted by FEMA; therefore the percentage is 20%, which is higher than it otherwise would be.  The objectives of the Hazard Mitigation Grant Program are</w:t>
      </w:r>
      <w:r w:rsidR="00E21C02">
        <w:rPr>
          <w:sz w:val="20"/>
        </w:rPr>
        <w:t xml:space="preserve"> t</w:t>
      </w:r>
      <w:r w:rsidRPr="00173DCB">
        <w:rPr>
          <w:sz w:val="20"/>
        </w:rPr>
        <w:t>o prevent future losses of lives and damage to property due to disasters; implement state or local hazard mitigation plans; enable mitigation measures to be implemented during immediate recovery from a disaster; and provide funding for previously identified mitigation measures that benefit the disaster area.</w:t>
      </w:r>
      <w:r w:rsidRPr="001F16BA">
        <w:rPr>
          <w:szCs w:val="22"/>
        </w:rPr>
        <w:t xml:space="preserve"> </w:t>
      </w:r>
      <w:r w:rsidRPr="0011565E">
        <w:rPr>
          <w:szCs w:val="22"/>
        </w:rPr>
        <w:t xml:space="preserve"> </w:t>
      </w:r>
      <w:r>
        <w:rPr>
          <w:rStyle w:val="FootnoteReference"/>
          <w:szCs w:val="22"/>
        </w:rPr>
        <w:footnoteReference w:id="2"/>
      </w:r>
      <w:r>
        <w:rPr>
          <w:szCs w:val="22"/>
        </w:rPr>
        <w:t xml:space="preserve">  </w:t>
      </w:r>
    </w:p>
    <w:p w:rsidR="00E21C02" w:rsidRDefault="00E21C02">
      <w:pPr>
        <w:rPr>
          <w:rStyle w:val="Emphasis"/>
          <w:sz w:val="20"/>
          <w:szCs w:val="20"/>
        </w:rPr>
      </w:pPr>
      <w:r>
        <w:rPr>
          <w:rStyle w:val="Emphasis"/>
          <w:sz w:val="20"/>
        </w:rPr>
        <w:br w:type="page"/>
      </w:r>
    </w:p>
    <w:p w:rsidR="007A045C" w:rsidRPr="00B91E6C" w:rsidRDefault="007A045C" w:rsidP="001D5E7C">
      <w:pPr>
        <w:pStyle w:val="bodytext"/>
        <w:jc w:val="left"/>
        <w:rPr>
          <w:rStyle w:val="Emphasis"/>
          <w:sz w:val="20"/>
        </w:rPr>
      </w:pPr>
      <w:r w:rsidRPr="00B91E6C">
        <w:rPr>
          <w:rStyle w:val="Emphasis"/>
          <w:sz w:val="20"/>
        </w:rPr>
        <w:lastRenderedPageBreak/>
        <w:t xml:space="preserve">Department of Financial Services </w:t>
      </w:r>
    </w:p>
    <w:p w:rsidR="00756129" w:rsidRDefault="0057685D" w:rsidP="00173DCB">
      <w:pPr>
        <w:pStyle w:val="bodytext"/>
        <w:spacing w:before="120"/>
        <w:rPr>
          <w:sz w:val="20"/>
        </w:rPr>
      </w:pPr>
      <w:r w:rsidRPr="00173DCB">
        <w:rPr>
          <w:b/>
          <w:sz w:val="20"/>
        </w:rPr>
        <w:t>My Safe Florida Home Program</w:t>
      </w:r>
      <w:r w:rsidRPr="00173DCB">
        <w:rPr>
          <w:sz w:val="20"/>
        </w:rPr>
        <w:t xml:space="preserve"> - In 2006, state lawmakers took action and appropriated $250 million to create the My Safe Florida Home program.  The program was created to help Floridians identify and make improvements to strengthen their homes against hurricanes through free wind inspections and grant funds.  The Florida Legislature directed the My Safe Florida Home program to target its resources to homeowners living in single-family, site-built homes in Florida by providing free wind inspections and grants to eligible homeowners.  </w:t>
      </w:r>
      <w:r w:rsidR="00F11887" w:rsidRPr="00173DCB">
        <w:rPr>
          <w:sz w:val="20"/>
        </w:rPr>
        <w:t>Since the program’s creation in 2006, more than 425,000</w:t>
      </w:r>
      <w:r w:rsidR="003C0B51" w:rsidRPr="00173DCB">
        <w:rPr>
          <w:sz w:val="20"/>
        </w:rPr>
        <w:t xml:space="preserve"> </w:t>
      </w:r>
      <w:r w:rsidR="00F11887" w:rsidRPr="00173DCB">
        <w:rPr>
          <w:sz w:val="20"/>
        </w:rPr>
        <w:t>homeowners have applied for a free hurricane mitigation</w:t>
      </w:r>
      <w:r w:rsidR="003C0B51" w:rsidRPr="00173DCB">
        <w:rPr>
          <w:sz w:val="20"/>
        </w:rPr>
        <w:t xml:space="preserve"> </w:t>
      </w:r>
      <w:r w:rsidR="00F11887" w:rsidRPr="00173DCB">
        <w:rPr>
          <w:sz w:val="20"/>
        </w:rPr>
        <w:t xml:space="preserve">inspection. </w:t>
      </w:r>
      <w:r w:rsidR="00D51661" w:rsidRPr="00173DCB">
        <w:rPr>
          <w:sz w:val="20"/>
        </w:rPr>
        <w:t xml:space="preserve"> </w:t>
      </w:r>
      <w:r w:rsidR="00F11887" w:rsidRPr="00173DCB">
        <w:rPr>
          <w:sz w:val="20"/>
        </w:rPr>
        <w:t>As of January 30, 2009, of the 391,216 inspections completed 213,478 homeowners,</w:t>
      </w:r>
      <w:r w:rsidR="003C0B51" w:rsidRPr="00173DCB">
        <w:rPr>
          <w:sz w:val="20"/>
        </w:rPr>
        <w:t xml:space="preserve"> </w:t>
      </w:r>
      <w:r w:rsidR="00F11887" w:rsidRPr="00173DCB">
        <w:rPr>
          <w:sz w:val="20"/>
        </w:rPr>
        <w:t>or 55 percent, are eligible for insurance savings without making a single improvement.</w:t>
      </w:r>
      <w:r w:rsidR="003C0B51" w:rsidRPr="00173DCB">
        <w:rPr>
          <w:sz w:val="20"/>
        </w:rPr>
        <w:t xml:space="preserve"> </w:t>
      </w:r>
      <w:r w:rsidR="00F11887" w:rsidRPr="00173DCB">
        <w:rPr>
          <w:sz w:val="20"/>
        </w:rPr>
        <w:t>This represents a potential $46.9 million in wind insurance savings statewide.</w:t>
      </w:r>
      <w:r w:rsidR="003C0B51" w:rsidRPr="00173DCB">
        <w:rPr>
          <w:sz w:val="20"/>
        </w:rPr>
        <w:t xml:space="preserve"> </w:t>
      </w:r>
      <w:r w:rsidR="00F11887" w:rsidRPr="00173DCB">
        <w:rPr>
          <w:sz w:val="20"/>
        </w:rPr>
        <w:t xml:space="preserve">As of January 30, 2009, 26,383 homeowners have been reimbursed by </w:t>
      </w:r>
      <w:r w:rsidR="00173DCB" w:rsidRPr="00173DCB">
        <w:rPr>
          <w:sz w:val="20"/>
        </w:rPr>
        <w:t>the program</w:t>
      </w:r>
      <w:r w:rsidR="00F11887" w:rsidRPr="00173DCB">
        <w:rPr>
          <w:sz w:val="20"/>
        </w:rPr>
        <w:t xml:space="preserve"> for more than $88</w:t>
      </w:r>
      <w:r w:rsidR="003C0B51" w:rsidRPr="00173DCB">
        <w:rPr>
          <w:sz w:val="20"/>
        </w:rPr>
        <w:t xml:space="preserve"> </w:t>
      </w:r>
      <w:r w:rsidR="00F11887" w:rsidRPr="00173DCB">
        <w:rPr>
          <w:sz w:val="20"/>
        </w:rPr>
        <w:t>million. The average reimbursement per homeowner is approximately $3,500.</w:t>
      </w:r>
      <w:r w:rsidR="003C0B51" w:rsidRPr="00173DCB">
        <w:rPr>
          <w:sz w:val="20"/>
        </w:rPr>
        <w:t xml:space="preserve"> </w:t>
      </w:r>
      <w:r w:rsidR="00F11887" w:rsidRPr="00173DCB">
        <w:rPr>
          <w:sz w:val="20"/>
        </w:rPr>
        <w:t>Of more than 39,000 grants awarded approximately</w:t>
      </w:r>
      <w:r w:rsidR="00F11887" w:rsidRPr="00173DCB">
        <w:rPr>
          <w:rFonts w:ascii="HelveticaLTStd-Light" w:hAnsi="HelveticaLTStd-Light" w:cs="HelveticaLTStd-Light"/>
          <w:sz w:val="20"/>
        </w:rPr>
        <w:t xml:space="preserve"> </w:t>
      </w:r>
      <w:r w:rsidR="00F11887" w:rsidRPr="00173DCB">
        <w:rPr>
          <w:sz w:val="20"/>
        </w:rPr>
        <w:t>37 percent have been awarded to low-income</w:t>
      </w:r>
      <w:r w:rsidR="003C0B51" w:rsidRPr="00173DCB">
        <w:rPr>
          <w:sz w:val="20"/>
        </w:rPr>
        <w:t xml:space="preserve"> </w:t>
      </w:r>
      <w:r w:rsidR="00F11887" w:rsidRPr="00173DCB">
        <w:rPr>
          <w:sz w:val="20"/>
        </w:rPr>
        <w:t>homeowners.</w:t>
      </w:r>
      <w:r w:rsidR="003C0B51" w:rsidRPr="00173DCB">
        <w:rPr>
          <w:sz w:val="20"/>
        </w:rPr>
        <w:t xml:space="preserve"> </w:t>
      </w:r>
      <w:r w:rsidR="00173DCB" w:rsidRPr="00173DCB">
        <w:rPr>
          <w:sz w:val="20"/>
        </w:rPr>
        <w:t xml:space="preserve">My Safe Florida Homes also provides measurements of Reduction of Total Insurance Industry Liability, Savings in Total Florida Hurricane Catastrophe Fund Premiums, Savings in Private Market Reinsurance Premiums, and Reduction of Homeowner Deductible Liability.  Due to budget constraints, the program expired on June 30, 2009.  </w:t>
      </w:r>
    </w:p>
    <w:p w:rsidR="00C65E7D" w:rsidRDefault="00C65E7D" w:rsidP="00173DCB">
      <w:pPr>
        <w:pStyle w:val="bodytext"/>
        <w:spacing w:before="12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1080"/>
        <w:gridCol w:w="900"/>
        <w:gridCol w:w="6300"/>
      </w:tblGrid>
      <w:tr w:rsidR="00C65E7D" w:rsidRPr="00326E80" w:rsidTr="00C65E7D">
        <w:tc>
          <w:tcPr>
            <w:tcW w:w="1818" w:type="dxa"/>
          </w:tcPr>
          <w:p w:rsidR="00C65E7D" w:rsidRPr="00326E80" w:rsidRDefault="00C65E7D" w:rsidP="00C65E7D">
            <w:pPr>
              <w:pStyle w:val="bodytext"/>
              <w:spacing w:before="120"/>
              <w:jc w:val="center"/>
              <w:rPr>
                <w:b/>
                <w:sz w:val="18"/>
                <w:szCs w:val="18"/>
              </w:rPr>
            </w:pPr>
            <w:r w:rsidRPr="00326E80">
              <w:rPr>
                <w:b/>
                <w:sz w:val="18"/>
                <w:szCs w:val="18"/>
              </w:rPr>
              <w:t>Program</w:t>
            </w:r>
          </w:p>
        </w:tc>
        <w:tc>
          <w:tcPr>
            <w:tcW w:w="1080" w:type="dxa"/>
          </w:tcPr>
          <w:p w:rsidR="00C65E7D" w:rsidRPr="00326E80" w:rsidRDefault="00C65E7D" w:rsidP="00C65E7D">
            <w:pPr>
              <w:pStyle w:val="bodytext"/>
              <w:spacing w:before="120"/>
              <w:jc w:val="center"/>
              <w:rPr>
                <w:b/>
                <w:sz w:val="18"/>
                <w:szCs w:val="18"/>
              </w:rPr>
            </w:pPr>
            <w:r w:rsidRPr="00326E80">
              <w:rPr>
                <w:b/>
                <w:sz w:val="18"/>
                <w:szCs w:val="18"/>
              </w:rPr>
              <w:t>Primary Source of Funding</w:t>
            </w:r>
          </w:p>
        </w:tc>
        <w:tc>
          <w:tcPr>
            <w:tcW w:w="900" w:type="dxa"/>
          </w:tcPr>
          <w:p w:rsidR="00C65E7D" w:rsidRPr="00326E80" w:rsidRDefault="00C65E7D" w:rsidP="00C65E7D">
            <w:pPr>
              <w:pStyle w:val="bodytext"/>
              <w:spacing w:before="120"/>
              <w:jc w:val="center"/>
              <w:rPr>
                <w:b/>
                <w:sz w:val="18"/>
                <w:szCs w:val="18"/>
              </w:rPr>
            </w:pPr>
            <w:r w:rsidRPr="00326E80">
              <w:rPr>
                <w:b/>
                <w:sz w:val="18"/>
                <w:szCs w:val="18"/>
              </w:rPr>
              <w:t>State Agency</w:t>
            </w:r>
          </w:p>
        </w:tc>
        <w:tc>
          <w:tcPr>
            <w:tcW w:w="6300" w:type="dxa"/>
          </w:tcPr>
          <w:p w:rsidR="00C65E7D" w:rsidRPr="00326E80" w:rsidRDefault="00C65E7D" w:rsidP="00C65E7D">
            <w:pPr>
              <w:pStyle w:val="bodytext"/>
              <w:spacing w:before="120"/>
              <w:jc w:val="center"/>
              <w:rPr>
                <w:b/>
                <w:sz w:val="18"/>
                <w:szCs w:val="18"/>
              </w:rPr>
            </w:pPr>
            <w:r>
              <w:rPr>
                <w:b/>
                <w:sz w:val="18"/>
                <w:szCs w:val="18"/>
              </w:rPr>
              <w:t>Performance / Measurements</w:t>
            </w:r>
          </w:p>
        </w:tc>
      </w:tr>
      <w:tr w:rsidR="00C65E7D" w:rsidRPr="00326E80" w:rsidTr="00C65E7D">
        <w:tc>
          <w:tcPr>
            <w:tcW w:w="1818" w:type="dxa"/>
          </w:tcPr>
          <w:p w:rsidR="00C65E7D" w:rsidRPr="00326E80" w:rsidRDefault="00C65E7D" w:rsidP="00C65E7D">
            <w:pPr>
              <w:pStyle w:val="bodytext"/>
              <w:spacing w:before="120"/>
              <w:jc w:val="left"/>
              <w:rPr>
                <w:sz w:val="18"/>
                <w:szCs w:val="18"/>
              </w:rPr>
            </w:pPr>
            <w:r w:rsidRPr="00326E80">
              <w:rPr>
                <w:sz w:val="18"/>
                <w:szCs w:val="18"/>
              </w:rPr>
              <w:t xml:space="preserve">Pre-Disaster Mitigation Program </w:t>
            </w:r>
          </w:p>
        </w:tc>
        <w:tc>
          <w:tcPr>
            <w:tcW w:w="1080" w:type="dxa"/>
          </w:tcPr>
          <w:p w:rsidR="00C65E7D" w:rsidRPr="00326E80" w:rsidRDefault="00C65E7D" w:rsidP="00C65E7D">
            <w:pPr>
              <w:pStyle w:val="bodytext"/>
              <w:spacing w:before="120"/>
              <w:jc w:val="center"/>
              <w:rPr>
                <w:sz w:val="18"/>
                <w:szCs w:val="18"/>
              </w:rPr>
            </w:pPr>
            <w:r w:rsidRPr="00326E80">
              <w:rPr>
                <w:sz w:val="18"/>
                <w:szCs w:val="18"/>
              </w:rPr>
              <w:t>Federal</w:t>
            </w:r>
          </w:p>
        </w:tc>
        <w:tc>
          <w:tcPr>
            <w:tcW w:w="900" w:type="dxa"/>
          </w:tcPr>
          <w:p w:rsidR="00C65E7D" w:rsidRPr="00326E80" w:rsidRDefault="00C65E7D" w:rsidP="00C65E7D">
            <w:pPr>
              <w:pStyle w:val="bodytext"/>
              <w:spacing w:before="120"/>
              <w:jc w:val="center"/>
              <w:rPr>
                <w:sz w:val="18"/>
                <w:szCs w:val="18"/>
              </w:rPr>
            </w:pPr>
            <w:r w:rsidRPr="00326E80">
              <w:rPr>
                <w:sz w:val="18"/>
                <w:szCs w:val="18"/>
              </w:rPr>
              <w:t>DEM</w:t>
            </w:r>
          </w:p>
        </w:tc>
        <w:tc>
          <w:tcPr>
            <w:tcW w:w="6300" w:type="dxa"/>
          </w:tcPr>
          <w:p w:rsidR="00C65E7D" w:rsidRPr="00EC2504" w:rsidRDefault="00C65E7D" w:rsidP="00C65E7D">
            <w:pPr>
              <w:pStyle w:val="bodytext"/>
              <w:numPr>
                <w:ilvl w:val="0"/>
                <w:numId w:val="16"/>
              </w:numPr>
              <w:spacing w:before="120"/>
              <w:jc w:val="left"/>
              <w:rPr>
                <w:sz w:val="20"/>
              </w:rPr>
            </w:pPr>
            <w:r w:rsidRPr="00EC2504">
              <w:rPr>
                <w:sz w:val="20"/>
              </w:rPr>
              <w:t>Managed $34,344,443</w:t>
            </w:r>
          </w:p>
          <w:p w:rsidR="00C65E7D" w:rsidRPr="00EC2504" w:rsidRDefault="00C65E7D" w:rsidP="00C65E7D">
            <w:pPr>
              <w:pStyle w:val="bodytext"/>
              <w:numPr>
                <w:ilvl w:val="0"/>
                <w:numId w:val="16"/>
              </w:numPr>
              <w:spacing w:before="120"/>
              <w:jc w:val="left"/>
              <w:rPr>
                <w:sz w:val="20"/>
              </w:rPr>
            </w:pPr>
            <w:r w:rsidRPr="00EC2504">
              <w:rPr>
                <w:sz w:val="20"/>
              </w:rPr>
              <w:t>Closed 36 wind retrofit projects, 4 drainage projects and 2 planning projects</w:t>
            </w:r>
          </w:p>
          <w:p w:rsidR="00C65E7D" w:rsidRPr="00EC2504" w:rsidRDefault="00C65E7D" w:rsidP="00C65E7D">
            <w:pPr>
              <w:pStyle w:val="bodytext"/>
              <w:numPr>
                <w:ilvl w:val="0"/>
                <w:numId w:val="16"/>
              </w:numPr>
              <w:spacing w:before="120"/>
              <w:jc w:val="left"/>
              <w:rPr>
                <w:sz w:val="20"/>
              </w:rPr>
            </w:pPr>
            <w:r w:rsidRPr="00EC2504">
              <w:rPr>
                <w:sz w:val="20"/>
              </w:rPr>
              <w:t xml:space="preserve">Currently ongoing or pending: 3 plans, 3 drainage projects and 15 wind retrofit projects </w:t>
            </w:r>
            <w:r>
              <w:rPr>
                <w:sz w:val="20"/>
              </w:rPr>
              <w:t>totaling</w:t>
            </w:r>
            <w:r w:rsidRPr="00EC2504">
              <w:rPr>
                <w:sz w:val="20"/>
              </w:rPr>
              <w:t xml:space="preserve"> over $17,500,000</w:t>
            </w:r>
          </w:p>
        </w:tc>
      </w:tr>
      <w:tr w:rsidR="00F01E3B" w:rsidRPr="00326E80" w:rsidTr="00F01E3B">
        <w:tc>
          <w:tcPr>
            <w:tcW w:w="3798" w:type="dxa"/>
            <w:gridSpan w:val="3"/>
          </w:tcPr>
          <w:p w:rsidR="00F01E3B" w:rsidRPr="00326E80" w:rsidRDefault="00F01E3B" w:rsidP="00F01E3B">
            <w:pPr>
              <w:pStyle w:val="bodytext"/>
              <w:spacing w:before="120"/>
              <w:jc w:val="center"/>
              <w:rPr>
                <w:sz w:val="18"/>
                <w:szCs w:val="18"/>
              </w:rPr>
            </w:pPr>
            <w:r>
              <w:rPr>
                <w:sz w:val="18"/>
                <w:szCs w:val="18"/>
              </w:rPr>
              <w:t>Measured Benefits</w:t>
            </w:r>
          </w:p>
        </w:tc>
        <w:tc>
          <w:tcPr>
            <w:tcW w:w="6300" w:type="dxa"/>
          </w:tcPr>
          <w:p w:rsidR="00F01E3B" w:rsidRPr="00EC2504" w:rsidRDefault="00712264" w:rsidP="00754667">
            <w:pPr>
              <w:pStyle w:val="bodytext"/>
              <w:spacing w:before="120"/>
              <w:jc w:val="left"/>
              <w:rPr>
                <w:sz w:val="20"/>
              </w:rPr>
            </w:pPr>
            <w:r>
              <w:rPr>
                <w:sz w:val="20"/>
              </w:rPr>
              <w:t xml:space="preserve">See </w:t>
            </w:r>
            <w:r w:rsidR="00754667">
              <w:rPr>
                <w:sz w:val="20"/>
              </w:rPr>
              <w:t xml:space="preserve">Mitigation Cost Avoidance Report </w:t>
            </w:r>
            <w:r>
              <w:rPr>
                <w:sz w:val="20"/>
              </w:rPr>
              <w:t xml:space="preserve">required by FEMA </w:t>
            </w:r>
            <w:r w:rsidR="00754667" w:rsidRPr="00754667">
              <w:rPr>
                <w:i/>
                <w:sz w:val="20"/>
              </w:rPr>
              <w:t>www.floridadisaster.org</w:t>
            </w:r>
          </w:p>
        </w:tc>
      </w:tr>
      <w:tr w:rsidR="00C65E7D" w:rsidRPr="00326E80" w:rsidTr="00C65E7D">
        <w:tc>
          <w:tcPr>
            <w:tcW w:w="1818" w:type="dxa"/>
          </w:tcPr>
          <w:p w:rsidR="00C65E7D" w:rsidRPr="00326E80" w:rsidRDefault="00C65E7D" w:rsidP="00C65E7D">
            <w:pPr>
              <w:pStyle w:val="bodytext"/>
              <w:spacing w:before="120"/>
              <w:jc w:val="left"/>
              <w:rPr>
                <w:sz w:val="18"/>
                <w:szCs w:val="18"/>
              </w:rPr>
            </w:pPr>
            <w:r w:rsidRPr="00326E80">
              <w:rPr>
                <w:sz w:val="18"/>
                <w:szCs w:val="18"/>
              </w:rPr>
              <w:t xml:space="preserve">Residential Construction Mitigation Program </w:t>
            </w:r>
          </w:p>
        </w:tc>
        <w:tc>
          <w:tcPr>
            <w:tcW w:w="1080" w:type="dxa"/>
          </w:tcPr>
          <w:p w:rsidR="00C65E7D" w:rsidRPr="00326E80" w:rsidRDefault="00C65E7D" w:rsidP="00C65E7D">
            <w:pPr>
              <w:pStyle w:val="bodytext"/>
              <w:spacing w:before="120"/>
              <w:jc w:val="center"/>
              <w:rPr>
                <w:sz w:val="18"/>
                <w:szCs w:val="18"/>
              </w:rPr>
            </w:pPr>
            <w:r w:rsidRPr="00326E80">
              <w:rPr>
                <w:sz w:val="18"/>
                <w:szCs w:val="18"/>
              </w:rPr>
              <w:t>State</w:t>
            </w:r>
          </w:p>
        </w:tc>
        <w:tc>
          <w:tcPr>
            <w:tcW w:w="900" w:type="dxa"/>
          </w:tcPr>
          <w:p w:rsidR="00C65E7D" w:rsidRPr="00326E80" w:rsidRDefault="00C65E7D" w:rsidP="00C65E7D">
            <w:pPr>
              <w:pStyle w:val="bodytext"/>
              <w:spacing w:before="120"/>
              <w:jc w:val="center"/>
              <w:rPr>
                <w:sz w:val="18"/>
                <w:szCs w:val="18"/>
              </w:rPr>
            </w:pPr>
            <w:r w:rsidRPr="00326E80">
              <w:rPr>
                <w:sz w:val="18"/>
                <w:szCs w:val="18"/>
              </w:rPr>
              <w:t>DEM</w:t>
            </w:r>
          </w:p>
        </w:tc>
        <w:tc>
          <w:tcPr>
            <w:tcW w:w="6300" w:type="dxa"/>
          </w:tcPr>
          <w:p w:rsidR="00C65E7D" w:rsidRPr="00EC2504" w:rsidRDefault="00C65E7D" w:rsidP="00C65E7D">
            <w:pPr>
              <w:pStyle w:val="bodytext"/>
              <w:spacing w:before="120"/>
              <w:jc w:val="left"/>
              <w:rPr>
                <w:sz w:val="20"/>
              </w:rPr>
            </w:pPr>
            <w:r w:rsidRPr="00EC2504">
              <w:rPr>
                <w:sz w:val="20"/>
              </w:rPr>
              <w:t>Since 2006 this program has utilized up to $3,500,000 annually to:</w:t>
            </w:r>
          </w:p>
          <w:p w:rsidR="00C65E7D" w:rsidRPr="00EC2504" w:rsidRDefault="00C65E7D" w:rsidP="00C65E7D">
            <w:pPr>
              <w:pStyle w:val="bodytext"/>
              <w:numPr>
                <w:ilvl w:val="0"/>
                <w:numId w:val="16"/>
              </w:numPr>
              <w:spacing w:before="120"/>
              <w:jc w:val="left"/>
              <w:rPr>
                <w:sz w:val="20"/>
              </w:rPr>
            </w:pPr>
            <w:r w:rsidRPr="00EC2504">
              <w:rPr>
                <w:sz w:val="20"/>
              </w:rPr>
              <w:t>Award 28 grants for low to moderate income homes (mitigating over 4,800 homes)</w:t>
            </w:r>
          </w:p>
          <w:p w:rsidR="00C65E7D" w:rsidRPr="00EC2504" w:rsidRDefault="00C65E7D" w:rsidP="00C65E7D">
            <w:pPr>
              <w:pStyle w:val="bodytext"/>
              <w:numPr>
                <w:ilvl w:val="0"/>
                <w:numId w:val="16"/>
              </w:numPr>
              <w:spacing w:before="120"/>
              <w:jc w:val="left"/>
              <w:rPr>
                <w:sz w:val="20"/>
              </w:rPr>
            </w:pPr>
            <w:r w:rsidRPr="00EC2504">
              <w:rPr>
                <w:sz w:val="20"/>
              </w:rPr>
              <w:t>Award 22 grants to “priority areas” including mitigation construction techniques, training, and codes &amp; standards projects</w:t>
            </w:r>
          </w:p>
          <w:p w:rsidR="00C65E7D" w:rsidRPr="00EC2504" w:rsidRDefault="00C65E7D" w:rsidP="00C65E7D">
            <w:pPr>
              <w:pStyle w:val="bodytext"/>
              <w:numPr>
                <w:ilvl w:val="0"/>
                <w:numId w:val="16"/>
              </w:numPr>
              <w:spacing w:before="120"/>
              <w:jc w:val="left"/>
              <w:rPr>
                <w:sz w:val="20"/>
              </w:rPr>
            </w:pPr>
            <w:r w:rsidRPr="00EC2504">
              <w:rPr>
                <w:sz w:val="20"/>
              </w:rPr>
              <w:t>Award 15 education grants for public outreach about wind damage and mitigation</w:t>
            </w:r>
          </w:p>
          <w:p w:rsidR="00C65E7D" w:rsidRPr="00EC2504" w:rsidRDefault="00C65E7D" w:rsidP="00C65E7D">
            <w:pPr>
              <w:pStyle w:val="bodytext"/>
              <w:numPr>
                <w:ilvl w:val="0"/>
                <w:numId w:val="16"/>
              </w:numPr>
              <w:spacing w:before="120"/>
              <w:jc w:val="left"/>
              <w:rPr>
                <w:sz w:val="20"/>
              </w:rPr>
            </w:pPr>
            <w:r w:rsidRPr="00EC2504">
              <w:rPr>
                <w:sz w:val="20"/>
              </w:rPr>
              <w:t>Award 8 grants that support non-regulatory, market-based approaches to wind damage mitigation</w:t>
            </w:r>
          </w:p>
          <w:p w:rsidR="00C65E7D" w:rsidRPr="00EC2504" w:rsidRDefault="00C65E7D" w:rsidP="00C65E7D">
            <w:pPr>
              <w:pStyle w:val="bodytext"/>
              <w:numPr>
                <w:ilvl w:val="0"/>
                <w:numId w:val="16"/>
              </w:numPr>
              <w:spacing w:before="120"/>
              <w:jc w:val="left"/>
              <w:rPr>
                <w:sz w:val="20"/>
              </w:rPr>
            </w:pPr>
            <w:r w:rsidRPr="00EC2504">
              <w:rPr>
                <w:sz w:val="20"/>
              </w:rPr>
              <w:t>Grant 7 RCMP program implementation enhancement projects</w:t>
            </w:r>
          </w:p>
          <w:p w:rsidR="00C65E7D" w:rsidRPr="00EC2504" w:rsidRDefault="00C65E7D" w:rsidP="00C65E7D">
            <w:pPr>
              <w:pStyle w:val="bodytext"/>
              <w:numPr>
                <w:ilvl w:val="0"/>
                <w:numId w:val="16"/>
              </w:numPr>
              <w:spacing w:before="120"/>
              <w:jc w:val="left"/>
              <w:rPr>
                <w:sz w:val="20"/>
              </w:rPr>
            </w:pPr>
            <w:r w:rsidRPr="00EC2504">
              <w:rPr>
                <w:sz w:val="20"/>
              </w:rPr>
              <w:t>Award 3 comprehensive mitigation planning grants and 1 low-interest loan program that supports residential mitigation</w:t>
            </w:r>
          </w:p>
        </w:tc>
      </w:tr>
      <w:tr w:rsidR="00F01E3B" w:rsidRPr="00326E80" w:rsidTr="00F01E3B">
        <w:tc>
          <w:tcPr>
            <w:tcW w:w="3798" w:type="dxa"/>
            <w:gridSpan w:val="3"/>
          </w:tcPr>
          <w:p w:rsidR="00F01E3B" w:rsidRPr="00326E80" w:rsidRDefault="00F01E3B" w:rsidP="00F01E3B">
            <w:pPr>
              <w:pStyle w:val="bodytext"/>
              <w:spacing w:before="120"/>
              <w:jc w:val="center"/>
              <w:rPr>
                <w:sz w:val="18"/>
                <w:szCs w:val="18"/>
              </w:rPr>
            </w:pPr>
            <w:r>
              <w:rPr>
                <w:sz w:val="18"/>
                <w:szCs w:val="18"/>
              </w:rPr>
              <w:t>Measured Benefits</w:t>
            </w:r>
          </w:p>
        </w:tc>
        <w:tc>
          <w:tcPr>
            <w:tcW w:w="6300" w:type="dxa"/>
          </w:tcPr>
          <w:p w:rsidR="00F01E3B" w:rsidRDefault="00F01E3B" w:rsidP="00C65E7D">
            <w:pPr>
              <w:pStyle w:val="bodytext"/>
              <w:spacing w:before="120"/>
              <w:jc w:val="left"/>
              <w:rPr>
                <w:sz w:val="20"/>
              </w:rPr>
            </w:pPr>
            <w:r>
              <w:rPr>
                <w:sz w:val="20"/>
              </w:rPr>
              <w:t>none</w:t>
            </w:r>
          </w:p>
        </w:tc>
      </w:tr>
      <w:tr w:rsidR="00C65E7D" w:rsidRPr="00326E80" w:rsidTr="00C65E7D">
        <w:tc>
          <w:tcPr>
            <w:tcW w:w="1818" w:type="dxa"/>
          </w:tcPr>
          <w:p w:rsidR="00C65E7D" w:rsidRPr="00326E80" w:rsidRDefault="00C65E7D" w:rsidP="00C65E7D">
            <w:pPr>
              <w:pStyle w:val="bodytext"/>
              <w:spacing w:before="120"/>
              <w:jc w:val="left"/>
              <w:rPr>
                <w:sz w:val="18"/>
                <w:szCs w:val="18"/>
              </w:rPr>
            </w:pPr>
            <w:r w:rsidRPr="00326E80">
              <w:rPr>
                <w:sz w:val="18"/>
                <w:szCs w:val="18"/>
              </w:rPr>
              <w:lastRenderedPageBreak/>
              <w:t xml:space="preserve">Residential Construction Mitigation </w:t>
            </w:r>
            <w:r w:rsidR="00F01E3B" w:rsidRPr="00F01E3B">
              <w:rPr>
                <w:sz w:val="18"/>
                <w:szCs w:val="18"/>
              </w:rPr>
              <w:t xml:space="preserve">Tie-Down </w:t>
            </w:r>
            <w:r w:rsidRPr="00F01E3B">
              <w:rPr>
                <w:sz w:val="18"/>
                <w:szCs w:val="18"/>
              </w:rPr>
              <w:t>Program</w:t>
            </w:r>
            <w:r w:rsidRPr="00326E80">
              <w:rPr>
                <w:sz w:val="18"/>
                <w:szCs w:val="18"/>
              </w:rPr>
              <w:t xml:space="preserve"> </w:t>
            </w:r>
          </w:p>
        </w:tc>
        <w:tc>
          <w:tcPr>
            <w:tcW w:w="1080" w:type="dxa"/>
          </w:tcPr>
          <w:p w:rsidR="00C65E7D" w:rsidRPr="00326E80" w:rsidRDefault="00C65E7D" w:rsidP="00C65E7D">
            <w:pPr>
              <w:pStyle w:val="bodytext"/>
              <w:spacing w:before="120"/>
              <w:jc w:val="center"/>
              <w:rPr>
                <w:sz w:val="18"/>
                <w:szCs w:val="18"/>
              </w:rPr>
            </w:pPr>
            <w:r w:rsidRPr="00326E80">
              <w:rPr>
                <w:sz w:val="18"/>
                <w:szCs w:val="18"/>
              </w:rPr>
              <w:t>State</w:t>
            </w:r>
          </w:p>
        </w:tc>
        <w:tc>
          <w:tcPr>
            <w:tcW w:w="900" w:type="dxa"/>
          </w:tcPr>
          <w:p w:rsidR="00C65E7D" w:rsidRPr="00326E80" w:rsidRDefault="00C65E7D" w:rsidP="00C65E7D">
            <w:pPr>
              <w:pStyle w:val="bodytext"/>
              <w:spacing w:before="120"/>
              <w:jc w:val="center"/>
              <w:rPr>
                <w:sz w:val="18"/>
                <w:szCs w:val="18"/>
              </w:rPr>
            </w:pPr>
            <w:r w:rsidRPr="00326E80">
              <w:rPr>
                <w:sz w:val="18"/>
                <w:szCs w:val="18"/>
              </w:rPr>
              <w:t>TCC</w:t>
            </w:r>
          </w:p>
        </w:tc>
        <w:tc>
          <w:tcPr>
            <w:tcW w:w="6300" w:type="dxa"/>
          </w:tcPr>
          <w:p w:rsidR="00C65E7D" w:rsidRPr="00326E80" w:rsidRDefault="00C65E7D" w:rsidP="00C65E7D">
            <w:pPr>
              <w:pStyle w:val="bodytext"/>
              <w:spacing w:before="120"/>
              <w:jc w:val="left"/>
              <w:rPr>
                <w:sz w:val="18"/>
                <w:szCs w:val="18"/>
              </w:rPr>
            </w:pPr>
            <w:r>
              <w:rPr>
                <w:sz w:val="20"/>
              </w:rPr>
              <w:t xml:space="preserve">- </w:t>
            </w:r>
            <w:r w:rsidRPr="00173DCB">
              <w:rPr>
                <w:sz w:val="20"/>
              </w:rPr>
              <w:t xml:space="preserve">6,065 </w:t>
            </w:r>
            <w:r>
              <w:rPr>
                <w:sz w:val="20"/>
              </w:rPr>
              <w:t>homes</w:t>
            </w:r>
            <w:r w:rsidRPr="00173DCB">
              <w:rPr>
                <w:sz w:val="20"/>
              </w:rPr>
              <w:t xml:space="preserve"> retro-fitted</w:t>
            </w:r>
          </w:p>
        </w:tc>
      </w:tr>
      <w:tr w:rsidR="00F01E3B" w:rsidRPr="00326E80" w:rsidTr="00F01E3B">
        <w:trPr>
          <w:cantSplit/>
        </w:trPr>
        <w:tc>
          <w:tcPr>
            <w:tcW w:w="3798" w:type="dxa"/>
            <w:gridSpan w:val="3"/>
          </w:tcPr>
          <w:p w:rsidR="00F01E3B" w:rsidRPr="00326E80" w:rsidRDefault="00F01E3B" w:rsidP="00F01E3B">
            <w:pPr>
              <w:pStyle w:val="bodytext"/>
              <w:spacing w:before="120"/>
              <w:jc w:val="center"/>
              <w:rPr>
                <w:sz w:val="18"/>
                <w:szCs w:val="18"/>
              </w:rPr>
            </w:pPr>
            <w:r>
              <w:rPr>
                <w:sz w:val="18"/>
                <w:szCs w:val="18"/>
              </w:rPr>
              <w:t>Measured Benefits</w:t>
            </w:r>
          </w:p>
        </w:tc>
        <w:tc>
          <w:tcPr>
            <w:tcW w:w="6300" w:type="dxa"/>
          </w:tcPr>
          <w:p w:rsidR="00F01E3B" w:rsidRDefault="00F01E3B" w:rsidP="00C65E7D">
            <w:pPr>
              <w:pStyle w:val="bodytext"/>
              <w:spacing w:before="120"/>
              <w:jc w:val="left"/>
              <w:rPr>
                <w:sz w:val="20"/>
              </w:rPr>
            </w:pPr>
            <w:r>
              <w:rPr>
                <w:sz w:val="20"/>
              </w:rPr>
              <w:t>none</w:t>
            </w:r>
          </w:p>
        </w:tc>
      </w:tr>
      <w:tr w:rsidR="00C65E7D" w:rsidRPr="00326E80" w:rsidTr="00C65E7D">
        <w:trPr>
          <w:cantSplit/>
        </w:trPr>
        <w:tc>
          <w:tcPr>
            <w:tcW w:w="1818" w:type="dxa"/>
          </w:tcPr>
          <w:p w:rsidR="00C65E7D" w:rsidRPr="00326E80" w:rsidRDefault="00C65E7D" w:rsidP="00C65E7D">
            <w:pPr>
              <w:pStyle w:val="bodytext"/>
              <w:spacing w:before="120"/>
              <w:jc w:val="left"/>
              <w:rPr>
                <w:sz w:val="18"/>
                <w:szCs w:val="18"/>
              </w:rPr>
            </w:pPr>
            <w:r w:rsidRPr="00326E80">
              <w:rPr>
                <w:sz w:val="18"/>
                <w:szCs w:val="18"/>
              </w:rPr>
              <w:t xml:space="preserve">Hazard Mitigation Grant Program </w:t>
            </w:r>
          </w:p>
        </w:tc>
        <w:tc>
          <w:tcPr>
            <w:tcW w:w="1080" w:type="dxa"/>
          </w:tcPr>
          <w:p w:rsidR="00C65E7D" w:rsidRPr="00326E80" w:rsidRDefault="00C65E7D" w:rsidP="00C65E7D">
            <w:pPr>
              <w:pStyle w:val="bodytext"/>
              <w:spacing w:before="120"/>
              <w:jc w:val="center"/>
              <w:rPr>
                <w:sz w:val="18"/>
                <w:szCs w:val="18"/>
              </w:rPr>
            </w:pPr>
            <w:r w:rsidRPr="00326E80">
              <w:rPr>
                <w:sz w:val="18"/>
                <w:szCs w:val="18"/>
              </w:rPr>
              <w:t>Federal</w:t>
            </w:r>
          </w:p>
        </w:tc>
        <w:tc>
          <w:tcPr>
            <w:tcW w:w="900" w:type="dxa"/>
          </w:tcPr>
          <w:p w:rsidR="00C65E7D" w:rsidRPr="00326E80" w:rsidRDefault="00C65E7D" w:rsidP="00C65E7D">
            <w:pPr>
              <w:pStyle w:val="bodytext"/>
              <w:spacing w:before="120"/>
              <w:jc w:val="center"/>
              <w:rPr>
                <w:sz w:val="18"/>
                <w:szCs w:val="18"/>
              </w:rPr>
            </w:pPr>
            <w:r w:rsidRPr="00326E80">
              <w:rPr>
                <w:sz w:val="18"/>
                <w:szCs w:val="18"/>
              </w:rPr>
              <w:t>DEM</w:t>
            </w:r>
          </w:p>
        </w:tc>
        <w:tc>
          <w:tcPr>
            <w:tcW w:w="6300" w:type="dxa"/>
          </w:tcPr>
          <w:p w:rsidR="00C65E7D" w:rsidRPr="00EC2504" w:rsidRDefault="00C65E7D" w:rsidP="00C65E7D">
            <w:pPr>
              <w:pStyle w:val="bodytext"/>
              <w:spacing w:before="120"/>
              <w:jc w:val="left"/>
              <w:rPr>
                <w:sz w:val="20"/>
              </w:rPr>
            </w:pPr>
            <w:r>
              <w:rPr>
                <w:sz w:val="20"/>
              </w:rPr>
              <w:t>Since January 1, 2004</w:t>
            </w:r>
            <w:r w:rsidRPr="00EC2504">
              <w:rPr>
                <w:sz w:val="20"/>
              </w:rPr>
              <w:t>:</w:t>
            </w:r>
          </w:p>
          <w:p w:rsidR="00C65E7D" w:rsidRPr="00EC2504" w:rsidRDefault="00C65E7D" w:rsidP="00C65E7D">
            <w:pPr>
              <w:pStyle w:val="bodytext"/>
              <w:numPr>
                <w:ilvl w:val="0"/>
                <w:numId w:val="16"/>
              </w:numPr>
              <w:spacing w:before="120"/>
              <w:jc w:val="left"/>
              <w:rPr>
                <w:sz w:val="20"/>
              </w:rPr>
            </w:pPr>
            <w:r w:rsidRPr="00EC2504">
              <w:rPr>
                <w:sz w:val="20"/>
              </w:rPr>
              <w:t>Awarded 1,010 grants</w:t>
            </w:r>
          </w:p>
          <w:p w:rsidR="00C65E7D" w:rsidRPr="00EC2504" w:rsidRDefault="00C65E7D" w:rsidP="00C65E7D">
            <w:pPr>
              <w:pStyle w:val="bodytext"/>
              <w:numPr>
                <w:ilvl w:val="0"/>
                <w:numId w:val="16"/>
              </w:numPr>
              <w:spacing w:before="120"/>
              <w:jc w:val="left"/>
              <w:rPr>
                <w:sz w:val="20"/>
              </w:rPr>
            </w:pPr>
            <w:r w:rsidRPr="00EC2504">
              <w:rPr>
                <w:sz w:val="20"/>
              </w:rPr>
              <w:t xml:space="preserve">Managed $365,709,928 for mitigation </w:t>
            </w:r>
          </w:p>
          <w:p w:rsidR="00C65E7D" w:rsidRPr="00EC2504" w:rsidRDefault="00C65E7D" w:rsidP="00C65E7D">
            <w:pPr>
              <w:pStyle w:val="bodytext"/>
              <w:numPr>
                <w:ilvl w:val="0"/>
                <w:numId w:val="16"/>
              </w:numPr>
              <w:spacing w:before="120"/>
              <w:jc w:val="left"/>
              <w:rPr>
                <w:sz w:val="20"/>
              </w:rPr>
            </w:pPr>
            <w:r w:rsidRPr="00EC2504">
              <w:rPr>
                <w:sz w:val="20"/>
              </w:rPr>
              <w:t>Assisted applicants for an additional $134+ million in mitigation assistance, currently awaiting FEMA approval</w:t>
            </w:r>
          </w:p>
        </w:tc>
      </w:tr>
      <w:tr w:rsidR="00754667" w:rsidRPr="00326E80" w:rsidTr="00F01E3B">
        <w:tc>
          <w:tcPr>
            <w:tcW w:w="3798" w:type="dxa"/>
            <w:gridSpan w:val="3"/>
          </w:tcPr>
          <w:p w:rsidR="00754667" w:rsidRPr="00326E80" w:rsidRDefault="00754667" w:rsidP="00C65E7D">
            <w:pPr>
              <w:pStyle w:val="bodytext"/>
              <w:spacing w:before="120"/>
              <w:jc w:val="center"/>
              <w:rPr>
                <w:sz w:val="18"/>
                <w:szCs w:val="18"/>
              </w:rPr>
            </w:pPr>
            <w:r>
              <w:rPr>
                <w:sz w:val="18"/>
                <w:szCs w:val="18"/>
              </w:rPr>
              <w:t>Measured Benefits</w:t>
            </w:r>
          </w:p>
        </w:tc>
        <w:tc>
          <w:tcPr>
            <w:tcW w:w="6300" w:type="dxa"/>
          </w:tcPr>
          <w:p w:rsidR="00754667" w:rsidRPr="00EC2504" w:rsidRDefault="00754667" w:rsidP="000C68C3">
            <w:pPr>
              <w:pStyle w:val="bodytext"/>
              <w:spacing w:before="120"/>
              <w:jc w:val="left"/>
              <w:rPr>
                <w:sz w:val="20"/>
              </w:rPr>
            </w:pPr>
            <w:r>
              <w:rPr>
                <w:sz w:val="20"/>
              </w:rPr>
              <w:t xml:space="preserve">See Mitigation Cost Avoidance Report required by FEMA </w:t>
            </w:r>
            <w:r w:rsidRPr="00754667">
              <w:rPr>
                <w:i/>
                <w:sz w:val="20"/>
              </w:rPr>
              <w:t>www.floridadisaster.org</w:t>
            </w:r>
          </w:p>
        </w:tc>
      </w:tr>
      <w:tr w:rsidR="00754667" w:rsidRPr="00326E80" w:rsidTr="00C65E7D">
        <w:tc>
          <w:tcPr>
            <w:tcW w:w="1818" w:type="dxa"/>
          </w:tcPr>
          <w:p w:rsidR="00754667" w:rsidRPr="00326E80" w:rsidRDefault="00754667" w:rsidP="00C65E7D">
            <w:pPr>
              <w:pStyle w:val="bodytext"/>
              <w:spacing w:before="120"/>
              <w:jc w:val="left"/>
              <w:rPr>
                <w:sz w:val="18"/>
                <w:szCs w:val="18"/>
              </w:rPr>
            </w:pPr>
            <w:r w:rsidRPr="00326E80">
              <w:rPr>
                <w:sz w:val="18"/>
                <w:szCs w:val="18"/>
              </w:rPr>
              <w:t xml:space="preserve">My Safe Florida Home Program  </w:t>
            </w:r>
          </w:p>
        </w:tc>
        <w:tc>
          <w:tcPr>
            <w:tcW w:w="1080" w:type="dxa"/>
          </w:tcPr>
          <w:p w:rsidR="00754667" w:rsidRPr="00326E80" w:rsidRDefault="00754667" w:rsidP="00C65E7D">
            <w:pPr>
              <w:pStyle w:val="bodytext"/>
              <w:spacing w:before="120"/>
              <w:jc w:val="center"/>
              <w:rPr>
                <w:sz w:val="18"/>
                <w:szCs w:val="18"/>
              </w:rPr>
            </w:pPr>
            <w:r w:rsidRPr="00326E80">
              <w:rPr>
                <w:sz w:val="18"/>
                <w:szCs w:val="18"/>
              </w:rPr>
              <w:t>State</w:t>
            </w:r>
          </w:p>
        </w:tc>
        <w:tc>
          <w:tcPr>
            <w:tcW w:w="900" w:type="dxa"/>
          </w:tcPr>
          <w:p w:rsidR="00754667" w:rsidRPr="00326E80" w:rsidRDefault="00754667" w:rsidP="00C65E7D">
            <w:pPr>
              <w:pStyle w:val="bodytext"/>
              <w:spacing w:before="120"/>
              <w:jc w:val="center"/>
              <w:rPr>
                <w:sz w:val="18"/>
                <w:szCs w:val="18"/>
              </w:rPr>
            </w:pPr>
            <w:r w:rsidRPr="00326E80">
              <w:rPr>
                <w:sz w:val="18"/>
                <w:szCs w:val="18"/>
              </w:rPr>
              <w:t>DFS</w:t>
            </w:r>
          </w:p>
        </w:tc>
        <w:tc>
          <w:tcPr>
            <w:tcW w:w="6300" w:type="dxa"/>
          </w:tcPr>
          <w:p w:rsidR="00754667" w:rsidRDefault="00754667" w:rsidP="00C65E7D">
            <w:pPr>
              <w:pStyle w:val="bodytext"/>
              <w:numPr>
                <w:ilvl w:val="0"/>
                <w:numId w:val="16"/>
              </w:numPr>
              <w:spacing w:before="120"/>
              <w:jc w:val="left"/>
              <w:rPr>
                <w:sz w:val="20"/>
              </w:rPr>
            </w:pPr>
            <w:r w:rsidRPr="00173DCB">
              <w:rPr>
                <w:sz w:val="20"/>
              </w:rPr>
              <w:t>391,216 inspections completed</w:t>
            </w:r>
          </w:p>
          <w:p w:rsidR="00754667" w:rsidRDefault="00754667" w:rsidP="00C65E7D">
            <w:pPr>
              <w:pStyle w:val="bodytext"/>
              <w:numPr>
                <w:ilvl w:val="0"/>
                <w:numId w:val="16"/>
              </w:numPr>
              <w:spacing w:before="120"/>
              <w:jc w:val="left"/>
              <w:rPr>
                <w:sz w:val="20"/>
              </w:rPr>
            </w:pPr>
            <w:r w:rsidRPr="00CB735F">
              <w:rPr>
                <w:sz w:val="20"/>
              </w:rPr>
              <w:t>37% of more than 39,000 grants awarded to low-income homeowners</w:t>
            </w:r>
          </w:p>
          <w:p w:rsidR="00754667" w:rsidRDefault="00754667" w:rsidP="00C65E7D">
            <w:pPr>
              <w:pStyle w:val="bodytext"/>
              <w:numPr>
                <w:ilvl w:val="0"/>
                <w:numId w:val="16"/>
              </w:numPr>
              <w:spacing w:before="120"/>
              <w:jc w:val="left"/>
              <w:rPr>
                <w:sz w:val="20"/>
              </w:rPr>
            </w:pPr>
            <w:r w:rsidRPr="00CB735F">
              <w:rPr>
                <w:sz w:val="20"/>
              </w:rPr>
              <w:t>Average reimbursement approximately $3,500</w:t>
            </w:r>
          </w:p>
          <w:p w:rsidR="00754667" w:rsidRPr="00CB735F" w:rsidRDefault="00754667" w:rsidP="00C65E7D">
            <w:pPr>
              <w:pStyle w:val="bodytext"/>
              <w:numPr>
                <w:ilvl w:val="0"/>
                <w:numId w:val="16"/>
              </w:numPr>
              <w:spacing w:before="120"/>
              <w:jc w:val="left"/>
              <w:rPr>
                <w:sz w:val="18"/>
                <w:szCs w:val="18"/>
              </w:rPr>
            </w:pPr>
            <w:r w:rsidRPr="00CB735F">
              <w:rPr>
                <w:sz w:val="20"/>
              </w:rPr>
              <w:t>Savings in Private Market Reinsurance Premiums</w:t>
            </w:r>
          </w:p>
          <w:p w:rsidR="00754667" w:rsidRPr="00326E80" w:rsidRDefault="00754667" w:rsidP="00C65E7D">
            <w:pPr>
              <w:pStyle w:val="bodytext"/>
              <w:numPr>
                <w:ilvl w:val="0"/>
                <w:numId w:val="16"/>
              </w:numPr>
              <w:spacing w:before="120"/>
              <w:jc w:val="left"/>
              <w:rPr>
                <w:sz w:val="18"/>
                <w:szCs w:val="18"/>
              </w:rPr>
            </w:pPr>
            <w:r w:rsidRPr="00173DCB">
              <w:rPr>
                <w:sz w:val="20"/>
              </w:rPr>
              <w:t>Reduction of Homeowner Deductible Liability</w:t>
            </w:r>
          </w:p>
        </w:tc>
      </w:tr>
      <w:tr w:rsidR="00754667" w:rsidRPr="00326E80" w:rsidTr="00F01E3B">
        <w:tc>
          <w:tcPr>
            <w:tcW w:w="3798" w:type="dxa"/>
            <w:gridSpan w:val="3"/>
          </w:tcPr>
          <w:p w:rsidR="00754667" w:rsidRPr="00326E80" w:rsidRDefault="00754667" w:rsidP="00C65E7D">
            <w:pPr>
              <w:pStyle w:val="bodytext"/>
              <w:spacing w:before="120"/>
              <w:jc w:val="center"/>
              <w:rPr>
                <w:sz w:val="18"/>
                <w:szCs w:val="18"/>
              </w:rPr>
            </w:pPr>
            <w:r>
              <w:rPr>
                <w:sz w:val="18"/>
                <w:szCs w:val="18"/>
              </w:rPr>
              <w:t>Measured Benefits</w:t>
            </w:r>
          </w:p>
        </w:tc>
        <w:tc>
          <w:tcPr>
            <w:tcW w:w="6300" w:type="dxa"/>
          </w:tcPr>
          <w:p w:rsidR="00754667" w:rsidRDefault="00754667" w:rsidP="00F01E3B">
            <w:pPr>
              <w:pStyle w:val="bodytext"/>
              <w:numPr>
                <w:ilvl w:val="0"/>
                <w:numId w:val="16"/>
              </w:numPr>
              <w:spacing w:before="120"/>
              <w:jc w:val="left"/>
              <w:rPr>
                <w:sz w:val="20"/>
              </w:rPr>
            </w:pPr>
            <w:r w:rsidRPr="00CB735F">
              <w:rPr>
                <w:sz w:val="20"/>
              </w:rPr>
              <w:t>55% were eligible for insurance savings without making  an improvement</w:t>
            </w:r>
          </w:p>
          <w:p w:rsidR="00754667" w:rsidRDefault="00754667" w:rsidP="00F01E3B">
            <w:pPr>
              <w:pStyle w:val="bodytext"/>
              <w:numPr>
                <w:ilvl w:val="0"/>
                <w:numId w:val="16"/>
              </w:numPr>
              <w:spacing w:before="120"/>
              <w:jc w:val="left"/>
              <w:rPr>
                <w:sz w:val="20"/>
              </w:rPr>
            </w:pPr>
            <w:r w:rsidRPr="00CB735F">
              <w:rPr>
                <w:sz w:val="20"/>
              </w:rPr>
              <w:t>Reduction of Total Insurance Industry Liability</w:t>
            </w:r>
          </w:p>
          <w:p w:rsidR="00754667" w:rsidRPr="00F01E3B" w:rsidRDefault="00754667" w:rsidP="00F01E3B">
            <w:pPr>
              <w:pStyle w:val="bodytext"/>
              <w:numPr>
                <w:ilvl w:val="0"/>
                <w:numId w:val="16"/>
              </w:numPr>
              <w:spacing w:before="120"/>
              <w:jc w:val="left"/>
              <w:rPr>
                <w:sz w:val="20"/>
              </w:rPr>
            </w:pPr>
            <w:r w:rsidRPr="00CB735F">
              <w:rPr>
                <w:sz w:val="20"/>
              </w:rPr>
              <w:t>Savings in Total Florida Hurricane Catastrophe Fund Premiums</w:t>
            </w:r>
          </w:p>
        </w:tc>
      </w:tr>
    </w:tbl>
    <w:p w:rsidR="00F74C80" w:rsidRDefault="00F74C80" w:rsidP="00F74C80">
      <w:pPr>
        <w:pStyle w:val="bodytext"/>
        <w:spacing w:before="120"/>
        <w:jc w:val="left"/>
        <w:rPr>
          <w:sz w:val="16"/>
          <w:szCs w:val="16"/>
        </w:rPr>
      </w:pPr>
      <w:r>
        <w:rPr>
          <w:sz w:val="16"/>
          <w:szCs w:val="16"/>
        </w:rPr>
        <w:t>Source:  Departmental responses to specific information requests</w:t>
      </w:r>
    </w:p>
    <w:p w:rsidR="00F74C80" w:rsidRDefault="00F74C80" w:rsidP="00F74C80">
      <w:pPr>
        <w:pStyle w:val="bodytext"/>
        <w:spacing w:before="120"/>
        <w:jc w:val="left"/>
        <w:rPr>
          <w:rFonts w:ascii="Arial Black" w:hAnsi="Arial Black"/>
          <w:b/>
          <w:i/>
          <w:sz w:val="24"/>
          <w:szCs w:val="24"/>
        </w:rPr>
      </w:pPr>
      <w:r>
        <w:rPr>
          <w:rFonts w:ascii="Arial Black" w:hAnsi="Arial Black"/>
          <w:b/>
          <w:i/>
          <w:sz w:val="24"/>
          <w:szCs w:val="24"/>
        </w:rPr>
        <w:t>Findings</w:t>
      </w:r>
    </w:p>
    <w:p w:rsidR="00446659" w:rsidRDefault="00446659" w:rsidP="00F74C80">
      <w:pPr>
        <w:pStyle w:val="bodytext"/>
        <w:spacing w:before="120"/>
        <w:jc w:val="left"/>
      </w:pPr>
      <w:r>
        <w:t>Pursuant to statute, TCC is to report annually as to whether there has been an increase in availability of insurance products to owners of manufactured or mobile homes.  TCC has not evaluated whether this has occurred.</w:t>
      </w:r>
    </w:p>
    <w:p w:rsidR="00662144" w:rsidRDefault="00662144" w:rsidP="00F74C80">
      <w:pPr>
        <w:pStyle w:val="bodytext"/>
        <w:spacing w:before="120"/>
        <w:jc w:val="left"/>
      </w:pPr>
      <w:r>
        <w:t>Strong oversight and performance measures are need</w:t>
      </w:r>
      <w:r w:rsidR="0003408F">
        <w:t>ed</w:t>
      </w:r>
      <w:r>
        <w:t xml:space="preserve"> to ensure accountability and that limited funds are being used in the best means possible to obtain maximum return on investment to the state.</w:t>
      </w:r>
    </w:p>
    <w:p w:rsidR="0003408F" w:rsidRDefault="0003408F" w:rsidP="0003408F">
      <w:pPr>
        <w:pStyle w:val="bodytext"/>
        <w:spacing w:before="120"/>
        <w:jc w:val="left"/>
      </w:pPr>
      <w:r>
        <w:t xml:space="preserve">Only MSFH has </w:t>
      </w:r>
      <w:r w:rsidR="00F01E3B">
        <w:t>developed and instituted</w:t>
      </w:r>
      <w:r>
        <w:t xml:space="preserve"> a method of measuring the effectiveness of the program.</w:t>
      </w:r>
    </w:p>
    <w:p w:rsidR="00C65E7D" w:rsidRDefault="00C65E7D" w:rsidP="00C65E7D">
      <w:pPr>
        <w:pStyle w:val="bodytext"/>
        <w:spacing w:before="120"/>
        <w:jc w:val="left"/>
      </w:pPr>
      <w:r>
        <w:t>Currently, applicants must apply to several agencies to obtain hazard mitigation assistance.</w:t>
      </w:r>
    </w:p>
    <w:p w:rsidR="0003408F" w:rsidRDefault="0003408F" w:rsidP="0003408F">
      <w:pPr>
        <w:pStyle w:val="bodytext"/>
        <w:spacing w:before="120"/>
        <w:jc w:val="left"/>
      </w:pPr>
      <w:r>
        <w:t>Of the $2.8 million appropriated for the tie-down program, TCC retains $150,000 and its contractor $50,000 for administrative expenses.</w:t>
      </w:r>
    </w:p>
    <w:p w:rsidR="00C65E7D" w:rsidRPr="00A823BF" w:rsidRDefault="00C65E7D" w:rsidP="00F74C80">
      <w:pPr>
        <w:pStyle w:val="bodytext"/>
        <w:spacing w:before="120"/>
        <w:jc w:val="left"/>
      </w:pPr>
      <w:r w:rsidRPr="006B24F2">
        <w:t>The mission of the Division of Emergency Management is to ensure that Florida is prepared to respond to emergencies, recover from them, and mitigate against their impacts.</w:t>
      </w:r>
    </w:p>
    <w:p w:rsidR="00754667" w:rsidRDefault="00754667" w:rsidP="009E446F">
      <w:pPr>
        <w:pStyle w:val="bodytext"/>
        <w:spacing w:before="120"/>
        <w:jc w:val="left"/>
        <w:rPr>
          <w:rFonts w:ascii="Arial Black" w:hAnsi="Arial Black"/>
          <w:b/>
          <w:i/>
          <w:sz w:val="24"/>
          <w:szCs w:val="24"/>
        </w:rPr>
      </w:pPr>
    </w:p>
    <w:p w:rsidR="009E446F" w:rsidRPr="00906FB6" w:rsidRDefault="009E446F" w:rsidP="009E446F">
      <w:pPr>
        <w:pStyle w:val="bodytext"/>
        <w:spacing w:before="120"/>
        <w:jc w:val="left"/>
        <w:rPr>
          <w:rFonts w:ascii="Arial Black" w:hAnsi="Arial Black"/>
          <w:b/>
          <w:i/>
          <w:sz w:val="24"/>
          <w:szCs w:val="24"/>
        </w:rPr>
      </w:pPr>
      <w:r>
        <w:rPr>
          <w:rFonts w:ascii="Arial Black" w:hAnsi="Arial Black"/>
          <w:b/>
          <w:i/>
          <w:sz w:val="24"/>
          <w:szCs w:val="24"/>
        </w:rPr>
        <w:lastRenderedPageBreak/>
        <w:t>Recommendation</w:t>
      </w:r>
    </w:p>
    <w:p w:rsidR="00111FD5" w:rsidRDefault="00111FD5" w:rsidP="00F74C80">
      <w:pPr>
        <w:pStyle w:val="bodytext"/>
        <w:spacing w:before="120"/>
        <w:jc w:val="left"/>
      </w:pPr>
      <w:r>
        <w:t xml:space="preserve">Consolidate all mitigation programs under DEM and create a program that provides competitive </w:t>
      </w:r>
      <w:r w:rsidR="00712264">
        <w:t xml:space="preserve">grants to local government and </w:t>
      </w:r>
      <w:r>
        <w:t>non-profits for mitigation activities.</w:t>
      </w:r>
    </w:p>
    <w:p w:rsidR="00111FD5" w:rsidRDefault="00111FD5" w:rsidP="00712264">
      <w:pPr>
        <w:pStyle w:val="bodytext"/>
        <w:numPr>
          <w:ilvl w:val="0"/>
          <w:numId w:val="19"/>
        </w:numPr>
        <w:spacing w:before="120"/>
        <w:jc w:val="left"/>
      </w:pPr>
      <w:r>
        <w:t>Transfer the MSFH program to DEM.</w:t>
      </w:r>
    </w:p>
    <w:p w:rsidR="00111FD5" w:rsidRDefault="00111FD5" w:rsidP="00712264">
      <w:pPr>
        <w:pStyle w:val="bodytext"/>
        <w:numPr>
          <w:ilvl w:val="0"/>
          <w:numId w:val="19"/>
        </w:numPr>
        <w:spacing w:before="120"/>
        <w:jc w:val="left"/>
      </w:pPr>
      <w:r>
        <w:t>Abolish the Residential Construction Mitigation Program and redirect funding to MSFH.</w:t>
      </w:r>
    </w:p>
    <w:p w:rsidR="00712264" w:rsidRDefault="002E2B23" w:rsidP="00712264">
      <w:pPr>
        <w:pStyle w:val="bodytext"/>
        <w:numPr>
          <w:ilvl w:val="0"/>
          <w:numId w:val="19"/>
        </w:numPr>
        <w:spacing w:before="120"/>
        <w:jc w:val="left"/>
      </w:pPr>
      <w:r>
        <w:t>Revise the MSFH grant process to d</w:t>
      </w:r>
      <w:r w:rsidR="00BB2DCF">
        <w:t xml:space="preserve">istribute all funds appropriated for hurricane loss mitigation to the </w:t>
      </w:r>
      <w:r w:rsidR="00710000">
        <w:t>local governments and non-profits</w:t>
      </w:r>
      <w:r w:rsidR="00BB2DCF">
        <w:t xml:space="preserve"> through a competitive grant program </w:t>
      </w:r>
      <w:r w:rsidR="00710000">
        <w:t xml:space="preserve">for retrofitting homes </w:t>
      </w:r>
      <w:r w:rsidR="00BB2DCF">
        <w:t xml:space="preserve">that </w:t>
      </w:r>
      <w:r w:rsidR="00712264">
        <w:t xml:space="preserve">uses transparent awarding criteria and </w:t>
      </w:r>
      <w:r w:rsidR="00BB2DCF">
        <w:t xml:space="preserve">demonstrates </w:t>
      </w:r>
      <w:r w:rsidR="00712264">
        <w:t>measurable benefits</w:t>
      </w:r>
      <w:r w:rsidR="00BB2DCF">
        <w:t xml:space="preserve">.  </w:t>
      </w:r>
    </w:p>
    <w:p w:rsidR="00BB2DCF" w:rsidRDefault="00710000" w:rsidP="00712264">
      <w:pPr>
        <w:pStyle w:val="bodytext"/>
        <w:numPr>
          <w:ilvl w:val="0"/>
          <w:numId w:val="19"/>
        </w:numPr>
        <w:spacing w:before="120"/>
        <w:jc w:val="left"/>
      </w:pPr>
      <w:r>
        <w:t xml:space="preserve">Measures of performance should include but not be limited to, </w:t>
      </w:r>
      <w:r w:rsidR="00712264">
        <w:t>r</w:t>
      </w:r>
      <w:r w:rsidRPr="00710000">
        <w:t xml:space="preserve">eduction of </w:t>
      </w:r>
      <w:r w:rsidR="00712264">
        <w:t>exposure to the</w:t>
      </w:r>
      <w:r w:rsidRPr="00710000">
        <w:t xml:space="preserve"> Florida Hurricane Catastrophe Fund</w:t>
      </w:r>
      <w:r>
        <w:t xml:space="preserve">, </w:t>
      </w:r>
      <w:r w:rsidR="00712264" w:rsidRPr="00710000">
        <w:t xml:space="preserve">savings in </w:t>
      </w:r>
      <w:r w:rsidR="00712264">
        <w:t>homeowner insurance, increase in the availability of insurance, and leveraging of local and/or federal funds.</w:t>
      </w:r>
    </w:p>
    <w:sectPr w:rsidR="00BB2DCF" w:rsidSect="001567C5">
      <w:type w:val="continuous"/>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C3" w:rsidRDefault="000C68C3">
      <w:r>
        <w:separator/>
      </w:r>
    </w:p>
  </w:endnote>
  <w:endnote w:type="continuationSeparator" w:id="0">
    <w:p w:rsidR="000C68C3" w:rsidRDefault="000C68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ZapfCalligr BT">
    <w:altName w:val="Palatino Linotype"/>
    <w:charset w:val="00"/>
    <w:family w:val="roman"/>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Swis721 Cn BT">
    <w:altName w:val="Arial Narrow"/>
    <w:charset w:val="00"/>
    <w:family w:val="swiss"/>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C3" w:rsidRDefault="000C68C3">
      <w:r>
        <w:separator/>
      </w:r>
    </w:p>
  </w:footnote>
  <w:footnote w:type="continuationSeparator" w:id="0">
    <w:p w:rsidR="000C68C3" w:rsidRDefault="000C68C3">
      <w:r>
        <w:continuationSeparator/>
      </w:r>
    </w:p>
  </w:footnote>
  <w:footnote w:id="1">
    <w:p w:rsidR="000C68C3" w:rsidRPr="00106A04" w:rsidRDefault="000C68C3" w:rsidP="003C0B51">
      <w:pPr>
        <w:pStyle w:val="FootnoteText"/>
      </w:pPr>
      <w:r>
        <w:rPr>
          <w:rStyle w:val="FootnoteReference"/>
        </w:rPr>
        <w:footnoteRef/>
      </w:r>
      <w:r>
        <w:t xml:space="preserve"> DCA operates a Hazard Mitigation Planning program, intended to help local governments integrate hazard mitigation principles into their comprehensive plans.</w:t>
      </w:r>
    </w:p>
  </w:footnote>
  <w:footnote w:id="2">
    <w:p w:rsidR="000C68C3" w:rsidRDefault="000C68C3" w:rsidP="001F16BA">
      <w:pPr>
        <w:pStyle w:val="FootnoteText"/>
      </w:pPr>
      <w:r>
        <w:rPr>
          <w:rStyle w:val="FootnoteReference"/>
        </w:rPr>
        <w:footnoteRef/>
      </w:r>
      <w:r>
        <w:t xml:space="preserve"> DEM also </w:t>
      </w:r>
      <w:r w:rsidRPr="00D96596">
        <w:rPr>
          <w:szCs w:val="22"/>
        </w:rPr>
        <w:t>provides federal disaster relief directed to supplement the efforts of state and local governments to restore public infrastructure following a disaster</w:t>
      </w:r>
      <w:r>
        <w:rPr>
          <w:szCs w:val="22"/>
        </w:rPr>
        <w:t xml:space="preserve"> and </w:t>
      </w:r>
      <w:r w:rsidRPr="005B6D51">
        <w:rPr>
          <w:szCs w:val="22"/>
        </w:rPr>
        <w:t>serves as the State Coordinating Agency for the National Flood Insurance, Flood Mitigation Assistance, Repetitive Flood Claims and Severe Repetitive Loss programs</w:t>
      </w:r>
      <w:r>
        <w:rPr>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1E4"/>
    <w:multiLevelType w:val="hybridMultilevel"/>
    <w:tmpl w:val="A49A204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1E425C9"/>
    <w:multiLevelType w:val="hybridMultilevel"/>
    <w:tmpl w:val="78A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F206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5A6A8E"/>
    <w:multiLevelType w:val="hybridMultilevel"/>
    <w:tmpl w:val="FCB69E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72D76"/>
    <w:multiLevelType w:val="multilevel"/>
    <w:tmpl w:val="5834218C"/>
    <w:lvl w:ilvl="0">
      <w:start w:val="1"/>
      <w:numFmt w:val="bullet"/>
      <w:lvlText w:val=""/>
      <w:lvlJc w:val="left"/>
      <w:pPr>
        <w:tabs>
          <w:tab w:val="num" w:pos="1152"/>
        </w:tabs>
        <w:ind w:left="1152" w:hanging="432"/>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0529D8"/>
    <w:multiLevelType w:val="hybridMultilevel"/>
    <w:tmpl w:val="BF00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8869C5"/>
    <w:multiLevelType w:val="singleLevel"/>
    <w:tmpl w:val="0538AC38"/>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314679A1"/>
    <w:multiLevelType w:val="hybridMultilevel"/>
    <w:tmpl w:val="CA0264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026F0"/>
    <w:multiLevelType w:val="hybridMultilevel"/>
    <w:tmpl w:val="2B82870E"/>
    <w:lvl w:ilvl="0" w:tplc="FD987670">
      <w:start w:val="3183"/>
      <w:numFmt w:val="bullet"/>
      <w:lvlText w:val="–"/>
      <w:lvlJc w:val="left"/>
      <w:pPr>
        <w:ind w:left="360" w:hanging="360"/>
      </w:pPr>
      <w:rPr>
        <w:rFonts w:ascii="ZapfCalligr BT" w:hAnsi="ZapfCalligr B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AF6A09"/>
    <w:multiLevelType w:val="hybridMultilevel"/>
    <w:tmpl w:val="6CBE0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177046"/>
    <w:multiLevelType w:val="hybridMultilevel"/>
    <w:tmpl w:val="E5603A52"/>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11">
    <w:nsid w:val="4BB647F5"/>
    <w:multiLevelType w:val="hybridMultilevel"/>
    <w:tmpl w:val="7E40F64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03129A8"/>
    <w:multiLevelType w:val="multilevel"/>
    <w:tmpl w:val="60889CF6"/>
    <w:lvl w:ilvl="0">
      <w:start w:val="1"/>
      <w:numFmt w:val="bullet"/>
      <w:lvlText w:val=""/>
      <w:lvlJc w:val="left"/>
      <w:pPr>
        <w:tabs>
          <w:tab w:val="num" w:pos="3672"/>
        </w:tabs>
        <w:ind w:left="3672"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3792091"/>
    <w:multiLevelType w:val="hybridMultilevel"/>
    <w:tmpl w:val="A56480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F5C46"/>
    <w:multiLevelType w:val="hybridMultilevel"/>
    <w:tmpl w:val="71564BC4"/>
    <w:lvl w:ilvl="0" w:tplc="553C3B5C">
      <w:start w:val="1"/>
      <w:numFmt w:val="bullet"/>
      <w:pStyle w:val="exhibitlistbullet"/>
      <w:lvlText w:val=""/>
      <w:lvlJc w:val="left"/>
      <w:pPr>
        <w:tabs>
          <w:tab w:val="num" w:pos="360"/>
        </w:tabs>
        <w:ind w:left="216" w:hanging="216"/>
      </w:pPr>
      <w:rPr>
        <w:rFonts w:ascii="Wingdings" w:hAnsi="Wingdings" w:hint="default"/>
      </w:rPr>
    </w:lvl>
    <w:lvl w:ilvl="1" w:tplc="CCFEBC50">
      <w:start w:val="1"/>
      <w:numFmt w:val="bullet"/>
      <w:lvlText w:val=""/>
      <w:lvlJc w:val="left"/>
      <w:pPr>
        <w:tabs>
          <w:tab w:val="num" w:pos="1440"/>
        </w:tabs>
        <w:ind w:left="1440"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F96D19"/>
    <w:multiLevelType w:val="hybridMultilevel"/>
    <w:tmpl w:val="F04AFD72"/>
    <w:lvl w:ilvl="0" w:tplc="9CE0AA0A">
      <w:start w:val="1"/>
      <w:numFmt w:val="bullet"/>
      <w:pStyle w:val="iwpbulleted"/>
      <w:lvlText w:val=""/>
      <w:lvlJc w:val="left"/>
      <w:pPr>
        <w:tabs>
          <w:tab w:val="num" w:pos="1152"/>
        </w:tabs>
        <w:ind w:left="1152"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862442"/>
    <w:multiLevelType w:val="hybridMultilevel"/>
    <w:tmpl w:val="78D6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0B45B3"/>
    <w:multiLevelType w:val="hybridMultilevel"/>
    <w:tmpl w:val="4338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E1086E"/>
    <w:multiLevelType w:val="multilevel"/>
    <w:tmpl w:val="00FC1480"/>
    <w:lvl w:ilvl="0">
      <w:start w:val="1"/>
      <w:numFmt w:val="bullet"/>
      <w:lvlText w:val=""/>
      <w:lvlJc w:val="left"/>
      <w:pPr>
        <w:tabs>
          <w:tab w:val="num" w:pos="720"/>
        </w:tabs>
        <w:ind w:left="720" w:hanging="288"/>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2"/>
  </w:num>
  <w:num w:numId="4">
    <w:abstractNumId w:val="18"/>
  </w:num>
  <w:num w:numId="5">
    <w:abstractNumId w:val="4"/>
  </w:num>
  <w:num w:numId="6">
    <w:abstractNumId w:val="17"/>
  </w:num>
  <w:num w:numId="7">
    <w:abstractNumId w:val="6"/>
  </w:num>
  <w:num w:numId="8">
    <w:abstractNumId w:val="14"/>
  </w:num>
  <w:num w:numId="9">
    <w:abstractNumId w:val="11"/>
  </w:num>
  <w:num w:numId="10">
    <w:abstractNumId w:val="10"/>
  </w:num>
  <w:num w:numId="11">
    <w:abstractNumId w:val="0"/>
  </w:num>
  <w:num w:numId="12">
    <w:abstractNumId w:val="16"/>
  </w:num>
  <w:num w:numId="13">
    <w:abstractNumId w:val="13"/>
  </w:num>
  <w:num w:numId="14">
    <w:abstractNumId w:val="7"/>
  </w:num>
  <w:num w:numId="15">
    <w:abstractNumId w:val="3"/>
  </w:num>
  <w:num w:numId="16">
    <w:abstractNumId w:val="8"/>
  </w:num>
  <w:num w:numId="17">
    <w:abstractNumId w:val="5"/>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3A26D1"/>
    <w:rsid w:val="00012CF7"/>
    <w:rsid w:val="000266CB"/>
    <w:rsid w:val="0003408F"/>
    <w:rsid w:val="00035948"/>
    <w:rsid w:val="00060447"/>
    <w:rsid w:val="00063291"/>
    <w:rsid w:val="000A79E5"/>
    <w:rsid w:val="000B7CF6"/>
    <w:rsid w:val="000C652A"/>
    <w:rsid w:val="000C68C3"/>
    <w:rsid w:val="00106A04"/>
    <w:rsid w:val="00111FD5"/>
    <w:rsid w:val="0011565E"/>
    <w:rsid w:val="00130ADB"/>
    <w:rsid w:val="00152899"/>
    <w:rsid w:val="001567C5"/>
    <w:rsid w:val="00157F79"/>
    <w:rsid w:val="00172102"/>
    <w:rsid w:val="00173DCB"/>
    <w:rsid w:val="00174B97"/>
    <w:rsid w:val="001A700D"/>
    <w:rsid w:val="001B0110"/>
    <w:rsid w:val="001B23C2"/>
    <w:rsid w:val="001D00D8"/>
    <w:rsid w:val="001D0414"/>
    <w:rsid w:val="001D5E7C"/>
    <w:rsid w:val="001D7304"/>
    <w:rsid w:val="001E6AAF"/>
    <w:rsid w:val="001F16BA"/>
    <w:rsid w:val="001F65E8"/>
    <w:rsid w:val="0020248E"/>
    <w:rsid w:val="00221482"/>
    <w:rsid w:val="00231D56"/>
    <w:rsid w:val="00291E3A"/>
    <w:rsid w:val="002E0491"/>
    <w:rsid w:val="002E28DB"/>
    <w:rsid w:val="002E2B23"/>
    <w:rsid w:val="002E4C84"/>
    <w:rsid w:val="00300216"/>
    <w:rsid w:val="00326E80"/>
    <w:rsid w:val="00341DE5"/>
    <w:rsid w:val="00343161"/>
    <w:rsid w:val="00362711"/>
    <w:rsid w:val="00376D2E"/>
    <w:rsid w:val="0039246F"/>
    <w:rsid w:val="00395A0A"/>
    <w:rsid w:val="003A26D1"/>
    <w:rsid w:val="003A3DF7"/>
    <w:rsid w:val="003A4840"/>
    <w:rsid w:val="003B3116"/>
    <w:rsid w:val="003C0B51"/>
    <w:rsid w:val="003C2FBD"/>
    <w:rsid w:val="003D4B82"/>
    <w:rsid w:val="003E796D"/>
    <w:rsid w:val="0044099F"/>
    <w:rsid w:val="00446659"/>
    <w:rsid w:val="00446C43"/>
    <w:rsid w:val="00447ECD"/>
    <w:rsid w:val="00475A77"/>
    <w:rsid w:val="00485EE1"/>
    <w:rsid w:val="004A2394"/>
    <w:rsid w:val="004D65A5"/>
    <w:rsid w:val="004E4985"/>
    <w:rsid w:val="00502CFE"/>
    <w:rsid w:val="00537AB6"/>
    <w:rsid w:val="00544627"/>
    <w:rsid w:val="00552867"/>
    <w:rsid w:val="0057685D"/>
    <w:rsid w:val="005816A7"/>
    <w:rsid w:val="005862C6"/>
    <w:rsid w:val="005B0DB8"/>
    <w:rsid w:val="005B6D51"/>
    <w:rsid w:val="005D4488"/>
    <w:rsid w:val="0064508D"/>
    <w:rsid w:val="00646B06"/>
    <w:rsid w:val="00651237"/>
    <w:rsid w:val="00662144"/>
    <w:rsid w:val="006A2724"/>
    <w:rsid w:val="006A4C75"/>
    <w:rsid w:val="006B24F2"/>
    <w:rsid w:val="006C5632"/>
    <w:rsid w:val="006C5CA3"/>
    <w:rsid w:val="006E3469"/>
    <w:rsid w:val="00701229"/>
    <w:rsid w:val="00702BAD"/>
    <w:rsid w:val="007047C4"/>
    <w:rsid w:val="00710000"/>
    <w:rsid w:val="00712264"/>
    <w:rsid w:val="0071769B"/>
    <w:rsid w:val="007209EC"/>
    <w:rsid w:val="0073290C"/>
    <w:rsid w:val="00735639"/>
    <w:rsid w:val="00737F22"/>
    <w:rsid w:val="00753CEB"/>
    <w:rsid w:val="00754667"/>
    <w:rsid w:val="00756129"/>
    <w:rsid w:val="00777D77"/>
    <w:rsid w:val="00783341"/>
    <w:rsid w:val="00784534"/>
    <w:rsid w:val="00784987"/>
    <w:rsid w:val="00792FAE"/>
    <w:rsid w:val="007A045C"/>
    <w:rsid w:val="007A1D78"/>
    <w:rsid w:val="007A4C69"/>
    <w:rsid w:val="007C6CDA"/>
    <w:rsid w:val="007C6FA8"/>
    <w:rsid w:val="007D2AB6"/>
    <w:rsid w:val="007D53DA"/>
    <w:rsid w:val="00824022"/>
    <w:rsid w:val="00824A6A"/>
    <w:rsid w:val="008305E3"/>
    <w:rsid w:val="00832891"/>
    <w:rsid w:val="0084231D"/>
    <w:rsid w:val="0084253F"/>
    <w:rsid w:val="0085685A"/>
    <w:rsid w:val="00871B6C"/>
    <w:rsid w:val="00871DFB"/>
    <w:rsid w:val="008917D1"/>
    <w:rsid w:val="008964B1"/>
    <w:rsid w:val="008965EF"/>
    <w:rsid w:val="008D7BE8"/>
    <w:rsid w:val="008E401B"/>
    <w:rsid w:val="008F142D"/>
    <w:rsid w:val="008F3F89"/>
    <w:rsid w:val="0090477A"/>
    <w:rsid w:val="009142FC"/>
    <w:rsid w:val="00925047"/>
    <w:rsid w:val="00983683"/>
    <w:rsid w:val="009A644C"/>
    <w:rsid w:val="009E446F"/>
    <w:rsid w:val="009F5801"/>
    <w:rsid w:val="00A24248"/>
    <w:rsid w:val="00A26889"/>
    <w:rsid w:val="00A27629"/>
    <w:rsid w:val="00A35D28"/>
    <w:rsid w:val="00A63CD5"/>
    <w:rsid w:val="00A6713A"/>
    <w:rsid w:val="00A823BF"/>
    <w:rsid w:val="00A83695"/>
    <w:rsid w:val="00A959B9"/>
    <w:rsid w:val="00AA0AA8"/>
    <w:rsid w:val="00AD142E"/>
    <w:rsid w:val="00AD5B39"/>
    <w:rsid w:val="00AD7723"/>
    <w:rsid w:val="00AE3CC4"/>
    <w:rsid w:val="00B246D1"/>
    <w:rsid w:val="00B503D6"/>
    <w:rsid w:val="00B57FBD"/>
    <w:rsid w:val="00B756D5"/>
    <w:rsid w:val="00B77736"/>
    <w:rsid w:val="00B905D2"/>
    <w:rsid w:val="00B91E6C"/>
    <w:rsid w:val="00B95CAB"/>
    <w:rsid w:val="00BB2DCF"/>
    <w:rsid w:val="00BB76EF"/>
    <w:rsid w:val="00BD1116"/>
    <w:rsid w:val="00C5508D"/>
    <w:rsid w:val="00C65E7D"/>
    <w:rsid w:val="00C759DA"/>
    <w:rsid w:val="00C75E0E"/>
    <w:rsid w:val="00C84B53"/>
    <w:rsid w:val="00C9796D"/>
    <w:rsid w:val="00CA122A"/>
    <w:rsid w:val="00CB735F"/>
    <w:rsid w:val="00CC2EE2"/>
    <w:rsid w:val="00CE0E2E"/>
    <w:rsid w:val="00CF2E75"/>
    <w:rsid w:val="00D0285D"/>
    <w:rsid w:val="00D2645D"/>
    <w:rsid w:val="00D3323F"/>
    <w:rsid w:val="00D51661"/>
    <w:rsid w:val="00D51F0A"/>
    <w:rsid w:val="00D60DA0"/>
    <w:rsid w:val="00D61CAF"/>
    <w:rsid w:val="00D74889"/>
    <w:rsid w:val="00D863CF"/>
    <w:rsid w:val="00D94078"/>
    <w:rsid w:val="00D96596"/>
    <w:rsid w:val="00DA0620"/>
    <w:rsid w:val="00DA15D3"/>
    <w:rsid w:val="00DA5155"/>
    <w:rsid w:val="00DE6CA4"/>
    <w:rsid w:val="00E21C02"/>
    <w:rsid w:val="00E23086"/>
    <w:rsid w:val="00E36D6C"/>
    <w:rsid w:val="00E8286E"/>
    <w:rsid w:val="00E83BC4"/>
    <w:rsid w:val="00E875B8"/>
    <w:rsid w:val="00EA5F95"/>
    <w:rsid w:val="00EB2179"/>
    <w:rsid w:val="00EB2584"/>
    <w:rsid w:val="00EB28CC"/>
    <w:rsid w:val="00EC152B"/>
    <w:rsid w:val="00ED020F"/>
    <w:rsid w:val="00ED0F2E"/>
    <w:rsid w:val="00F01E3B"/>
    <w:rsid w:val="00F07D38"/>
    <w:rsid w:val="00F11887"/>
    <w:rsid w:val="00F20884"/>
    <w:rsid w:val="00F67C95"/>
    <w:rsid w:val="00F74C80"/>
    <w:rsid w:val="00F803AE"/>
    <w:rsid w:val="00FA2118"/>
    <w:rsid w:val="00FB4188"/>
    <w:rsid w:val="00FC1110"/>
    <w:rsid w:val="00FD5412"/>
    <w:rsid w:val="00FF4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8D"/>
    <w:rPr>
      <w:sz w:val="24"/>
      <w:szCs w:val="24"/>
    </w:rPr>
  </w:style>
  <w:style w:type="paragraph" w:styleId="Heading3">
    <w:name w:val="heading 3"/>
    <w:basedOn w:val="Normal"/>
    <w:next w:val="Normal"/>
    <w:qFormat/>
    <w:rsid w:val="00C5508D"/>
    <w:pPr>
      <w:keepNext/>
      <w:ind w:left="432"/>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pheading">
    <w:name w:val="iwp heading"/>
    <w:basedOn w:val="Normal"/>
    <w:rsid w:val="003A4840"/>
    <w:pPr>
      <w:spacing w:before="60"/>
    </w:pPr>
    <w:rPr>
      <w:rFonts w:ascii="Arial" w:hAnsi="Arial" w:cs="Arial"/>
      <w:b/>
      <w:bCs/>
      <w:caps/>
      <w:sz w:val="20"/>
    </w:rPr>
  </w:style>
  <w:style w:type="paragraph" w:customStyle="1" w:styleId="iwptext">
    <w:name w:val="iwp text"/>
    <w:basedOn w:val="Normal"/>
    <w:rsid w:val="007047C4"/>
    <w:pPr>
      <w:ind w:firstLine="432"/>
    </w:pPr>
  </w:style>
  <w:style w:type="paragraph" w:customStyle="1" w:styleId="iwpbulleted">
    <w:name w:val="iwp bulleted"/>
    <w:basedOn w:val="iwptext"/>
    <w:rsid w:val="008F142D"/>
    <w:pPr>
      <w:numPr>
        <w:numId w:val="1"/>
      </w:numPr>
    </w:pPr>
  </w:style>
  <w:style w:type="paragraph" w:customStyle="1" w:styleId="bodytext">
    <w:name w:val="body text"/>
    <w:basedOn w:val="Normal"/>
    <w:link w:val="bodytextChar1"/>
    <w:rsid w:val="00F803AE"/>
    <w:pPr>
      <w:tabs>
        <w:tab w:val="left" w:pos="9000"/>
      </w:tabs>
      <w:spacing w:after="120"/>
      <w:jc w:val="both"/>
    </w:pPr>
    <w:rPr>
      <w:rFonts w:ascii="ZapfCalligr BT" w:hAnsi="ZapfCalligr BT"/>
      <w:sz w:val="22"/>
      <w:szCs w:val="20"/>
    </w:rPr>
  </w:style>
  <w:style w:type="character" w:customStyle="1" w:styleId="bodytextChar1">
    <w:name w:val="body text Char1"/>
    <w:basedOn w:val="DefaultParagraphFont"/>
    <w:link w:val="bodytext"/>
    <w:rsid w:val="00F803AE"/>
    <w:rPr>
      <w:rFonts w:ascii="ZapfCalligr BT" w:hAnsi="ZapfCalligr BT"/>
      <w:sz w:val="22"/>
    </w:rPr>
  </w:style>
  <w:style w:type="paragraph" w:styleId="ListBullet">
    <w:name w:val="List Bullet"/>
    <w:basedOn w:val="Normal"/>
    <w:rsid w:val="00502CFE"/>
    <w:pPr>
      <w:numPr>
        <w:numId w:val="7"/>
      </w:numPr>
      <w:spacing w:after="60"/>
    </w:pPr>
    <w:rPr>
      <w:snapToGrid w:val="0"/>
      <w:szCs w:val="20"/>
    </w:rPr>
  </w:style>
  <w:style w:type="character" w:styleId="FootnoteReference">
    <w:name w:val="footnote reference"/>
    <w:rsid w:val="00502CFE"/>
    <w:rPr>
      <w:rFonts w:ascii="Times New Roman" w:hAnsi="Times New Roman"/>
      <w:sz w:val="22"/>
      <w:vertAlign w:val="superscript"/>
    </w:rPr>
  </w:style>
  <w:style w:type="character" w:styleId="Hyperlink">
    <w:name w:val="Hyperlink"/>
    <w:basedOn w:val="DefaultParagraphFont"/>
    <w:rsid w:val="00502CFE"/>
    <w:rPr>
      <w:color w:val="0000FF"/>
      <w:u w:val="single"/>
    </w:rPr>
  </w:style>
  <w:style w:type="paragraph" w:styleId="FootnoteText">
    <w:name w:val="footnote text"/>
    <w:basedOn w:val="Normal"/>
    <w:link w:val="FootnoteTextChar"/>
    <w:rsid w:val="00502CFE"/>
    <w:pPr>
      <w:widowControl w:val="0"/>
      <w:spacing w:before="60" w:line="228" w:lineRule="auto"/>
      <w:ind w:left="115" w:hanging="115"/>
      <w:jc w:val="both"/>
    </w:pPr>
    <w:rPr>
      <w:snapToGrid w:val="0"/>
      <w:sz w:val="18"/>
      <w:szCs w:val="20"/>
    </w:rPr>
  </w:style>
  <w:style w:type="character" w:customStyle="1" w:styleId="FootnoteTextChar">
    <w:name w:val="Footnote Text Char"/>
    <w:basedOn w:val="DefaultParagraphFont"/>
    <w:link w:val="FootnoteText"/>
    <w:rsid w:val="00502CFE"/>
    <w:rPr>
      <w:snapToGrid w:val="0"/>
      <w:sz w:val="18"/>
    </w:rPr>
  </w:style>
  <w:style w:type="paragraph" w:customStyle="1" w:styleId="Source">
    <w:name w:val="Source"/>
    <w:basedOn w:val="Normal"/>
    <w:next w:val="bodytext"/>
    <w:rsid w:val="00502CFE"/>
    <w:pPr>
      <w:spacing w:before="60" w:after="360"/>
    </w:pPr>
    <w:rPr>
      <w:sz w:val="16"/>
      <w:szCs w:val="20"/>
    </w:rPr>
  </w:style>
  <w:style w:type="paragraph" w:customStyle="1" w:styleId="exhibittitle">
    <w:name w:val="exhibit title"/>
    <w:basedOn w:val="Normal"/>
    <w:next w:val="exhibitheadings"/>
    <w:link w:val="exhibittitleChar"/>
    <w:rsid w:val="00502CFE"/>
    <w:pPr>
      <w:keepNext/>
      <w:keepLines/>
      <w:spacing w:before="100" w:after="40" w:line="228" w:lineRule="auto"/>
    </w:pPr>
    <w:rPr>
      <w:rFonts w:ascii="Swis721 Cn BT" w:hAnsi="Swis721 Cn BT"/>
      <w:b/>
      <w:snapToGrid w:val="0"/>
      <w:szCs w:val="20"/>
    </w:rPr>
  </w:style>
  <w:style w:type="paragraph" w:customStyle="1" w:styleId="exhibitheadings">
    <w:name w:val="exhibit headings"/>
    <w:basedOn w:val="Normal"/>
    <w:next w:val="Normal"/>
    <w:rsid w:val="00502CFE"/>
    <w:rPr>
      <w:rFonts w:ascii="Swis721 Cn BT" w:hAnsi="Swis721 Cn BT"/>
      <w:b/>
      <w:sz w:val="20"/>
      <w:szCs w:val="20"/>
    </w:rPr>
  </w:style>
  <w:style w:type="character" w:customStyle="1" w:styleId="exhibittitleChar">
    <w:name w:val="exhibit title Char"/>
    <w:basedOn w:val="DefaultParagraphFont"/>
    <w:link w:val="exhibittitle"/>
    <w:rsid w:val="00502CFE"/>
    <w:rPr>
      <w:rFonts w:ascii="Swis721 Cn BT" w:hAnsi="Swis721 Cn BT"/>
      <w:b/>
      <w:snapToGrid w:val="0"/>
      <w:sz w:val="24"/>
    </w:rPr>
  </w:style>
  <w:style w:type="character" w:styleId="Emphasis">
    <w:name w:val="Emphasis"/>
    <w:qFormat/>
    <w:rsid w:val="00502CFE"/>
    <w:rPr>
      <w:rFonts w:ascii="Arial Black" w:hAnsi="Arial Black"/>
      <w:sz w:val="18"/>
    </w:rPr>
  </w:style>
  <w:style w:type="paragraph" w:customStyle="1" w:styleId="exhibittext">
    <w:name w:val="exhibit text"/>
    <w:basedOn w:val="Normal"/>
    <w:rsid w:val="00502CFE"/>
    <w:rPr>
      <w:rFonts w:ascii="Swis721 Cn BT" w:hAnsi="Swis721 Cn BT"/>
      <w:sz w:val="18"/>
      <w:szCs w:val="20"/>
    </w:rPr>
  </w:style>
  <w:style w:type="paragraph" w:customStyle="1" w:styleId="exhibitlistbullet">
    <w:name w:val="exhibit list bullet"/>
    <w:basedOn w:val="ListBullet"/>
    <w:rsid w:val="00502CFE"/>
    <w:pPr>
      <w:numPr>
        <w:numId w:val="8"/>
      </w:numPr>
      <w:spacing w:line="228" w:lineRule="auto"/>
    </w:pPr>
    <w:rPr>
      <w:rFonts w:ascii="Swis721 Cn BT" w:hAnsi="Swis721 Cn BT"/>
      <w:sz w:val="18"/>
    </w:rPr>
  </w:style>
  <w:style w:type="paragraph" w:styleId="BalloonText">
    <w:name w:val="Balloon Text"/>
    <w:basedOn w:val="Normal"/>
    <w:link w:val="BalloonTextChar"/>
    <w:rsid w:val="00DE6CA4"/>
    <w:rPr>
      <w:rFonts w:ascii="Tahoma" w:hAnsi="Tahoma" w:cs="Tahoma"/>
      <w:sz w:val="16"/>
      <w:szCs w:val="16"/>
    </w:rPr>
  </w:style>
  <w:style w:type="character" w:customStyle="1" w:styleId="BalloonTextChar">
    <w:name w:val="Balloon Text Char"/>
    <w:basedOn w:val="DefaultParagraphFont"/>
    <w:link w:val="BalloonText"/>
    <w:rsid w:val="00DE6CA4"/>
    <w:rPr>
      <w:rFonts w:ascii="Tahoma" w:hAnsi="Tahoma" w:cs="Tahoma"/>
      <w:sz w:val="16"/>
      <w:szCs w:val="16"/>
    </w:rPr>
  </w:style>
  <w:style w:type="table" w:styleId="TableGrid">
    <w:name w:val="Table Grid"/>
    <w:basedOn w:val="TableNormal"/>
    <w:rsid w:val="00DE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7A045C"/>
  </w:style>
  <w:style w:type="paragraph" w:customStyle="1" w:styleId="Default">
    <w:name w:val="Default"/>
    <w:rsid w:val="001D5E7C"/>
    <w:pPr>
      <w:autoSpaceDE w:val="0"/>
      <w:autoSpaceDN w:val="0"/>
      <w:adjustRightInd w:val="0"/>
    </w:pPr>
    <w:rPr>
      <w:color w:val="000000"/>
      <w:sz w:val="24"/>
      <w:szCs w:val="24"/>
    </w:rPr>
  </w:style>
  <w:style w:type="paragraph" w:styleId="NormalWeb">
    <w:name w:val="Normal (Web)"/>
    <w:basedOn w:val="Normal"/>
    <w:uiPriority w:val="99"/>
    <w:unhideWhenUsed/>
    <w:rsid w:val="0057685D"/>
    <w:pPr>
      <w:spacing w:before="100" w:beforeAutospacing="1" w:after="100" w:afterAutospacing="1"/>
    </w:pPr>
  </w:style>
  <w:style w:type="paragraph" w:styleId="ListParagraph">
    <w:name w:val="List Paragraph"/>
    <w:basedOn w:val="Normal"/>
    <w:uiPriority w:val="34"/>
    <w:qFormat/>
    <w:rsid w:val="001F16BA"/>
    <w:pPr>
      <w:ind w:left="720"/>
      <w:contextualSpacing/>
    </w:pPr>
  </w:style>
  <w:style w:type="paragraph" w:styleId="Header">
    <w:name w:val="header"/>
    <w:basedOn w:val="Normal"/>
    <w:link w:val="HeaderChar"/>
    <w:rsid w:val="00784534"/>
    <w:pPr>
      <w:tabs>
        <w:tab w:val="center" w:pos="4680"/>
        <w:tab w:val="right" w:pos="9360"/>
      </w:tabs>
    </w:pPr>
  </w:style>
  <w:style w:type="character" w:customStyle="1" w:styleId="HeaderChar">
    <w:name w:val="Header Char"/>
    <w:basedOn w:val="DefaultParagraphFont"/>
    <w:link w:val="Header"/>
    <w:rsid w:val="00784534"/>
    <w:rPr>
      <w:sz w:val="24"/>
      <w:szCs w:val="24"/>
    </w:rPr>
  </w:style>
  <w:style w:type="paragraph" w:styleId="Footer">
    <w:name w:val="footer"/>
    <w:basedOn w:val="Normal"/>
    <w:link w:val="FooterChar"/>
    <w:rsid w:val="00784534"/>
    <w:pPr>
      <w:tabs>
        <w:tab w:val="center" w:pos="4680"/>
        <w:tab w:val="right" w:pos="9360"/>
      </w:tabs>
    </w:pPr>
  </w:style>
  <w:style w:type="character" w:customStyle="1" w:styleId="FooterChar">
    <w:name w:val="Footer Char"/>
    <w:basedOn w:val="DefaultParagraphFont"/>
    <w:link w:val="Footer"/>
    <w:rsid w:val="00784534"/>
    <w:rPr>
      <w:sz w:val="24"/>
      <w:szCs w:val="24"/>
    </w:rPr>
  </w:style>
</w:styles>
</file>

<file path=word/webSettings.xml><?xml version="1.0" encoding="utf-8"?>
<w:webSettings xmlns:r="http://schemas.openxmlformats.org/officeDocument/2006/relationships" xmlns:w="http://schemas.openxmlformats.org/wordprocessingml/2006/main">
  <w:divs>
    <w:div w:id="317349166">
      <w:bodyDiv w:val="1"/>
      <w:marLeft w:val="0"/>
      <w:marRight w:val="0"/>
      <w:marTop w:val="0"/>
      <w:marBottom w:val="0"/>
      <w:divBdr>
        <w:top w:val="none" w:sz="0" w:space="0" w:color="auto"/>
        <w:left w:val="none" w:sz="0" w:space="0" w:color="auto"/>
        <w:bottom w:val="none" w:sz="0" w:space="0" w:color="auto"/>
        <w:right w:val="none" w:sz="0" w:space="0" w:color="auto"/>
      </w:divBdr>
    </w:div>
    <w:div w:id="576289066">
      <w:bodyDiv w:val="1"/>
      <w:marLeft w:val="0"/>
      <w:marRight w:val="0"/>
      <w:marTop w:val="0"/>
      <w:marBottom w:val="0"/>
      <w:divBdr>
        <w:top w:val="none" w:sz="0" w:space="0" w:color="auto"/>
        <w:left w:val="none" w:sz="0" w:space="0" w:color="auto"/>
        <w:bottom w:val="none" w:sz="0" w:space="0" w:color="auto"/>
        <w:right w:val="none" w:sz="0" w:space="0" w:color="auto"/>
      </w:divBdr>
    </w:div>
    <w:div w:id="710039292">
      <w:bodyDiv w:val="1"/>
      <w:marLeft w:val="0"/>
      <w:marRight w:val="0"/>
      <w:marTop w:val="0"/>
      <w:marBottom w:val="0"/>
      <w:divBdr>
        <w:top w:val="none" w:sz="0" w:space="0" w:color="auto"/>
        <w:left w:val="none" w:sz="0" w:space="0" w:color="auto"/>
        <w:bottom w:val="none" w:sz="0" w:space="0" w:color="auto"/>
        <w:right w:val="none" w:sz="0" w:space="0" w:color="auto"/>
      </w:divBdr>
      <w:divsChild>
        <w:div w:id="161582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Interim%20Work%20Pla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94E8-7C6E-4250-BCC5-2F4A67FA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Interim Work Plan.S.dot</Template>
  <TotalTime>252</TotalTime>
  <Pages>4</Pages>
  <Words>1219</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iwp 2010 000</vt:lpstr>
    </vt:vector>
  </TitlesOfParts>
  <Company>Florida Legislature</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 2010 000</dc:title>
  <dc:subject/>
  <dc:creator>Florida Legislature</dc:creator>
  <cp:keywords/>
  <dc:description/>
  <cp:lastModifiedBy>GILREATH.DEBBIE</cp:lastModifiedBy>
  <cp:revision>16</cp:revision>
  <cp:lastPrinted>2010-02-10T22:47:00Z</cp:lastPrinted>
  <dcterms:created xsi:type="dcterms:W3CDTF">2009-11-18T21:24:00Z</dcterms:created>
  <dcterms:modified xsi:type="dcterms:W3CDTF">2010-02-10T23:05:00Z</dcterms:modified>
</cp:coreProperties>
</file>