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276DFA" w:rsidRPr="009A10F2" w:rsidTr="00E30E0E">
        <w:trPr>
          <w:cantSplit/>
        </w:trPr>
        <w:tc>
          <w:tcPr>
            <w:tcW w:w="5000" w:type="pct"/>
            <w:gridSpan w:val="3"/>
            <w:tcBorders>
              <w:bottom w:val="single" w:sz="4" w:space="0" w:color="auto"/>
            </w:tcBorders>
            <w:shd w:val="clear" w:color="auto" w:fill="C0C0C0"/>
          </w:tcPr>
          <w:p w:rsidR="00276DFA" w:rsidRPr="009A10F2" w:rsidRDefault="00461C85" w:rsidP="00691B31">
            <w:pPr>
              <w:spacing w:beforeLines="60" w:afterLines="60"/>
              <w:jc w:val="center"/>
              <w:rPr>
                <w:rFonts w:ascii="Verdana" w:hAnsi="Verdana" w:cs="Arial"/>
                <w:b/>
                <w:sz w:val="20"/>
                <w:szCs w:val="20"/>
              </w:rPr>
            </w:pPr>
            <w:r>
              <w:rPr>
                <w:rFonts w:ascii="Verdana" w:hAnsi="Verdana" w:cs="Arial"/>
                <w:b/>
                <w:sz w:val="20"/>
                <w:szCs w:val="20"/>
              </w:rPr>
              <w:t>Department of Management Services</w:t>
            </w:r>
          </w:p>
        </w:tc>
      </w:tr>
      <w:tr w:rsidR="004D4C38" w:rsidRPr="009A10F2" w:rsidTr="004D4C38">
        <w:trPr>
          <w:cantSplit/>
        </w:trPr>
        <w:tc>
          <w:tcPr>
            <w:tcW w:w="5000" w:type="pct"/>
            <w:gridSpan w:val="3"/>
            <w:shd w:val="clear" w:color="auto" w:fill="auto"/>
          </w:tcPr>
          <w:p w:rsidR="004D4C38" w:rsidRPr="004D4C38" w:rsidRDefault="004D4C38" w:rsidP="00691B31">
            <w:pPr>
              <w:autoSpaceDE w:val="0"/>
              <w:autoSpaceDN w:val="0"/>
              <w:adjustRightInd w:val="0"/>
              <w:spacing w:beforeLines="60" w:afterLines="60"/>
              <w:ind w:left="360"/>
              <w:rPr>
                <w:rFonts w:ascii="Verdana" w:hAnsi="Verdana" w:cs="Arial"/>
                <w:sz w:val="20"/>
                <w:szCs w:val="20"/>
              </w:rPr>
            </w:pPr>
            <w:r w:rsidRPr="004D4C38">
              <w:rPr>
                <w:rFonts w:ascii="Verdana" w:hAnsi="Verdana" w:cs="Arial"/>
                <w:sz w:val="20"/>
                <w:szCs w:val="20"/>
              </w:rPr>
              <w:t xml:space="preserve">The Department of Management Services (DMS) is the administrative arm of state government.  The department delivers services to state and local governments to help these governmental entities deliver front line services to citizens and provides tools for agency administrators to manage effectively and employees to work efficiently.  Its mission is “providing smarter, better, faster services.”  The Legislature appropriated </w:t>
            </w:r>
            <w:r w:rsidR="00691B31">
              <w:rPr>
                <w:rFonts w:ascii="Verdana" w:hAnsi="Verdana" w:cs="Arial"/>
                <w:sz w:val="20"/>
                <w:szCs w:val="20"/>
              </w:rPr>
              <w:t>$551.3 million and 8</w:t>
            </w:r>
            <w:r>
              <w:rPr>
                <w:rFonts w:ascii="Verdana" w:hAnsi="Verdana" w:cs="Arial"/>
                <w:sz w:val="20"/>
                <w:szCs w:val="20"/>
              </w:rPr>
              <w:t>46 po</w:t>
            </w:r>
            <w:r w:rsidRPr="004D4C38">
              <w:rPr>
                <w:rFonts w:ascii="Verdana" w:hAnsi="Verdana" w:cs="Arial"/>
                <w:sz w:val="20"/>
                <w:szCs w:val="20"/>
              </w:rPr>
              <w:t>sitions to the department for Fiscal Year 200</w:t>
            </w:r>
            <w:r>
              <w:rPr>
                <w:rFonts w:ascii="Verdana" w:hAnsi="Verdana" w:cs="Arial"/>
                <w:sz w:val="20"/>
                <w:szCs w:val="20"/>
              </w:rPr>
              <w:t>9-10</w:t>
            </w:r>
            <w:r w:rsidR="00A17806">
              <w:rPr>
                <w:rFonts w:ascii="Verdana" w:hAnsi="Verdana" w:cs="Arial"/>
                <w:sz w:val="20"/>
                <w:szCs w:val="20"/>
              </w:rPr>
              <w:t>.</w:t>
            </w:r>
          </w:p>
        </w:tc>
      </w:tr>
      <w:tr w:rsidR="003E4710" w:rsidRPr="009A10F2" w:rsidTr="00E30E0E">
        <w:trPr>
          <w:cantSplit/>
        </w:trPr>
        <w:tc>
          <w:tcPr>
            <w:tcW w:w="5000" w:type="pct"/>
            <w:gridSpan w:val="3"/>
            <w:shd w:val="pct10" w:color="auto" w:fill="auto"/>
          </w:tcPr>
          <w:p w:rsidR="00220CE6" w:rsidRPr="00472703" w:rsidRDefault="00461C85" w:rsidP="00691B31">
            <w:pPr>
              <w:autoSpaceDE w:val="0"/>
              <w:autoSpaceDN w:val="0"/>
              <w:adjustRightInd w:val="0"/>
              <w:spacing w:beforeLines="60" w:afterLines="60"/>
              <w:ind w:left="360"/>
              <w:rPr>
                <w:rFonts w:ascii="Verdana" w:hAnsi="Verdana" w:cs="Arial"/>
                <w:b/>
                <w:sz w:val="20"/>
                <w:szCs w:val="20"/>
              </w:rPr>
            </w:pPr>
            <w:r w:rsidRPr="00461C85">
              <w:rPr>
                <w:rFonts w:ascii="Verdana" w:hAnsi="Verdana" w:cs="Arial"/>
                <w:b/>
                <w:sz w:val="20"/>
                <w:szCs w:val="20"/>
              </w:rPr>
              <w:t>Administration</w:t>
            </w:r>
            <w:r w:rsidRPr="00461C85">
              <w:rPr>
                <w:rFonts w:ascii="Verdana" w:hAnsi="Verdana" w:cs="Arial"/>
                <w:sz w:val="20"/>
                <w:szCs w:val="20"/>
              </w:rPr>
              <w:t xml:space="preserve"> </w:t>
            </w:r>
            <w:r w:rsidR="0083188E">
              <w:rPr>
                <w:rFonts w:ascii="Verdana" w:hAnsi="Verdana" w:cs="Arial"/>
                <w:sz w:val="20"/>
                <w:szCs w:val="20"/>
              </w:rPr>
              <w:t xml:space="preserve"> </w:t>
            </w:r>
            <w:r w:rsidR="004D4C38" w:rsidRPr="0024589C">
              <w:rPr>
                <w:rFonts w:ascii="Verdana" w:hAnsi="Verdana" w:cs="Arial"/>
                <w:sz w:val="20"/>
                <w:szCs w:val="20"/>
              </w:rPr>
              <w:t>Appropriation:  $</w:t>
            </w:r>
            <w:r w:rsidR="004D4C38">
              <w:rPr>
                <w:rFonts w:ascii="Verdana" w:hAnsi="Verdana" w:cs="Arial"/>
                <w:sz w:val="20"/>
                <w:szCs w:val="20"/>
              </w:rPr>
              <w:t>9.1</w:t>
            </w:r>
            <w:r w:rsidR="004D4C38" w:rsidRPr="0024589C">
              <w:rPr>
                <w:rFonts w:ascii="Verdana" w:hAnsi="Verdana" w:cs="Arial"/>
                <w:sz w:val="20"/>
                <w:szCs w:val="20"/>
              </w:rPr>
              <w:t xml:space="preserve"> million, </w:t>
            </w:r>
            <w:r w:rsidR="004D4C38">
              <w:rPr>
                <w:rFonts w:ascii="Verdana" w:hAnsi="Verdana" w:cs="Arial"/>
                <w:sz w:val="20"/>
                <w:szCs w:val="20"/>
              </w:rPr>
              <w:t>86</w:t>
            </w:r>
            <w:r w:rsidR="004D4C38" w:rsidRPr="0024589C">
              <w:rPr>
                <w:rFonts w:ascii="Verdana" w:hAnsi="Verdana" w:cs="Arial"/>
                <w:sz w:val="20"/>
                <w:szCs w:val="20"/>
              </w:rPr>
              <w:t xml:space="preserve"> FTE</w:t>
            </w:r>
          </w:p>
        </w:tc>
      </w:tr>
      <w:tr w:rsidR="004D4C38" w:rsidRPr="009A10F2" w:rsidTr="004D4C38">
        <w:trPr>
          <w:cantSplit/>
          <w:trHeight w:val="500"/>
        </w:trPr>
        <w:tc>
          <w:tcPr>
            <w:tcW w:w="314" w:type="pct"/>
          </w:tcPr>
          <w:p w:rsidR="004D4C38" w:rsidRPr="009A10F2" w:rsidRDefault="004D4C38" w:rsidP="00691B31">
            <w:pPr>
              <w:spacing w:beforeLines="60" w:afterLines="60"/>
              <w:jc w:val="center"/>
              <w:rPr>
                <w:rFonts w:ascii="Verdana" w:hAnsi="Verdana" w:cs="Arial"/>
                <w:sz w:val="16"/>
                <w:szCs w:val="16"/>
              </w:rPr>
            </w:pPr>
          </w:p>
        </w:tc>
        <w:tc>
          <w:tcPr>
            <w:tcW w:w="380" w:type="pct"/>
          </w:tcPr>
          <w:p w:rsidR="004D4C38" w:rsidRPr="009A10F2" w:rsidRDefault="004D4C38"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FFFFFF"/>
          </w:tcPr>
          <w:p w:rsidR="004D4C38" w:rsidRPr="0058321D" w:rsidRDefault="004D4C38" w:rsidP="00691B31">
            <w:pPr>
              <w:autoSpaceDE w:val="0"/>
              <w:autoSpaceDN w:val="0"/>
              <w:adjustRightInd w:val="0"/>
              <w:spacing w:beforeLines="60" w:afterLines="60"/>
              <w:ind w:left="360"/>
              <w:rPr>
                <w:rFonts w:ascii="Verdana" w:hAnsi="Verdana" w:cs="Arial"/>
                <w:sz w:val="20"/>
                <w:szCs w:val="20"/>
              </w:rPr>
            </w:pPr>
            <w:r>
              <w:rPr>
                <w:rFonts w:ascii="Verdana" w:hAnsi="Verdana" w:cs="Arial"/>
                <w:b/>
                <w:sz w:val="20"/>
                <w:szCs w:val="20"/>
              </w:rPr>
              <w:t xml:space="preserve">Executive Direction and </w:t>
            </w:r>
            <w:r w:rsidRPr="004D4C38">
              <w:rPr>
                <w:rFonts w:ascii="Verdana" w:hAnsi="Verdana" w:cs="Arial"/>
                <w:b/>
                <w:sz w:val="20"/>
                <w:szCs w:val="20"/>
              </w:rPr>
              <w:t>Support</w:t>
            </w:r>
            <w:r w:rsidRPr="004D4C38">
              <w:rPr>
                <w:rFonts w:ascii="Verdana" w:hAnsi="Verdana" w:cs="Arial"/>
                <w:sz w:val="20"/>
                <w:szCs w:val="20"/>
              </w:rPr>
              <w:t xml:space="preserve"> provides administrative and support services to all areas of the </w:t>
            </w:r>
            <w:r w:rsidRPr="00461C85">
              <w:rPr>
                <w:rFonts w:ascii="Verdana" w:hAnsi="Verdana" w:cs="Arial"/>
                <w:sz w:val="20"/>
                <w:szCs w:val="20"/>
              </w:rPr>
              <w:t>department</w:t>
            </w:r>
            <w:r>
              <w:rPr>
                <w:rFonts w:ascii="Verdana" w:hAnsi="Verdana" w:cs="Arial"/>
                <w:sz w:val="20"/>
                <w:szCs w:val="20"/>
              </w:rPr>
              <w:t>,</w:t>
            </w:r>
            <w:r w:rsidRPr="00461C85">
              <w:rPr>
                <w:rFonts w:ascii="Verdana" w:hAnsi="Verdana" w:cs="Arial"/>
                <w:sz w:val="20"/>
                <w:szCs w:val="20"/>
              </w:rPr>
              <w:t xml:space="preserve"> including human resources, purchasing, legal, and financial management.</w:t>
            </w:r>
            <w:r>
              <w:rPr>
                <w:rFonts w:ascii="Verdana" w:hAnsi="Verdana" w:cs="Arial"/>
                <w:sz w:val="20"/>
                <w:szCs w:val="20"/>
              </w:rPr>
              <w:t xml:space="preserve">  </w:t>
            </w:r>
          </w:p>
        </w:tc>
      </w:tr>
      <w:tr w:rsidR="004D4C38" w:rsidRPr="009A10F2" w:rsidTr="004D4C38">
        <w:trPr>
          <w:cantSplit/>
          <w:trHeight w:val="500"/>
        </w:trPr>
        <w:tc>
          <w:tcPr>
            <w:tcW w:w="314" w:type="pct"/>
          </w:tcPr>
          <w:p w:rsidR="004D4C38" w:rsidRPr="009A10F2" w:rsidRDefault="004D4C38" w:rsidP="00691B31">
            <w:pPr>
              <w:spacing w:beforeLines="60" w:afterLines="60"/>
              <w:rPr>
                <w:rFonts w:ascii="Verdana" w:hAnsi="Verdana" w:cs="Arial"/>
                <w:sz w:val="16"/>
                <w:szCs w:val="16"/>
              </w:rPr>
            </w:pPr>
          </w:p>
        </w:tc>
        <w:tc>
          <w:tcPr>
            <w:tcW w:w="380" w:type="pct"/>
          </w:tcPr>
          <w:p w:rsidR="004D4C38" w:rsidRPr="009A10F2" w:rsidRDefault="004D4C38"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FFFFFF"/>
          </w:tcPr>
          <w:p w:rsidR="004D4C38" w:rsidRPr="009A10F2" w:rsidRDefault="004D4C38" w:rsidP="00691B31">
            <w:pPr>
              <w:autoSpaceDE w:val="0"/>
              <w:autoSpaceDN w:val="0"/>
              <w:adjustRightInd w:val="0"/>
              <w:spacing w:beforeLines="60" w:afterLines="60"/>
              <w:ind w:left="360"/>
              <w:rPr>
                <w:rFonts w:ascii="Verdana" w:hAnsi="Verdana" w:cs="Arial"/>
                <w:sz w:val="20"/>
                <w:szCs w:val="20"/>
              </w:rPr>
            </w:pPr>
          </w:p>
        </w:tc>
      </w:tr>
      <w:tr w:rsidR="004D4C38" w:rsidRPr="009A10F2" w:rsidTr="004D4C38">
        <w:trPr>
          <w:cantSplit/>
          <w:trHeight w:val="500"/>
        </w:trPr>
        <w:tc>
          <w:tcPr>
            <w:tcW w:w="314" w:type="pct"/>
          </w:tcPr>
          <w:p w:rsidR="004D4C38" w:rsidRPr="009A10F2" w:rsidRDefault="004D4C38" w:rsidP="00691B31">
            <w:pPr>
              <w:spacing w:beforeLines="60" w:afterLines="60"/>
              <w:rPr>
                <w:rFonts w:ascii="Verdana" w:hAnsi="Verdana" w:cs="Arial"/>
                <w:sz w:val="16"/>
                <w:szCs w:val="16"/>
              </w:rPr>
            </w:pPr>
          </w:p>
        </w:tc>
        <w:tc>
          <w:tcPr>
            <w:tcW w:w="380" w:type="pct"/>
          </w:tcPr>
          <w:p w:rsidR="004D4C38" w:rsidRPr="009A10F2" w:rsidRDefault="004D4C38"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FFFFFF"/>
          </w:tcPr>
          <w:p w:rsidR="004D4C38" w:rsidRPr="009A10F2" w:rsidRDefault="004D4C38"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500"/>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FFFFFF"/>
          </w:tcPr>
          <w:p w:rsidR="007F2C26" w:rsidRPr="0058321D"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State Employee Leasing</w:t>
            </w:r>
            <w:r w:rsidRPr="00461C85">
              <w:rPr>
                <w:rFonts w:ascii="Verdana" w:hAnsi="Verdana" w:cs="Arial"/>
                <w:sz w:val="20"/>
                <w:szCs w:val="20"/>
              </w:rPr>
              <w:t xml:space="preserve"> is a lease agreement that allows employees hired by Enterprise Florida from the Department of Commerce (as of June 30, 1996) and the Executive Office of the Governor (as of January 1, 1998) to retain status as a state employee, including the right to participate in the Florida Retirement System.  Employees of the Black Business Investment Board (as of June 30, 2002) are also eligible for the program.</w:t>
            </w:r>
            <w:r w:rsidR="00167528">
              <w:rPr>
                <w:rFonts w:ascii="Verdana" w:hAnsi="Verdana" w:cs="Arial"/>
                <w:sz w:val="20"/>
                <w:szCs w:val="20"/>
              </w:rPr>
              <w:t xml:space="preserve"> </w:t>
            </w:r>
            <w:r w:rsidR="00167528" w:rsidRPr="00167528">
              <w:rPr>
                <w:rFonts w:ascii="Verdana" w:hAnsi="Verdana" w:cs="Arial"/>
                <w:sz w:val="20"/>
                <w:szCs w:val="20"/>
              </w:rPr>
              <w:t>DMS only processes payroll and benefits for the</w:t>
            </w:r>
            <w:r w:rsidR="00167528">
              <w:rPr>
                <w:rFonts w:ascii="Verdana" w:hAnsi="Verdana" w:cs="Arial"/>
                <w:sz w:val="20"/>
                <w:szCs w:val="20"/>
              </w:rPr>
              <w:t xml:space="preserve"> leased</w:t>
            </w:r>
            <w:r w:rsidR="00167528" w:rsidRPr="00167528">
              <w:rPr>
                <w:rFonts w:ascii="Verdana" w:hAnsi="Verdana" w:cs="Arial"/>
                <w:sz w:val="20"/>
                <w:szCs w:val="20"/>
              </w:rPr>
              <w:t xml:space="preserve"> employees</w:t>
            </w:r>
            <w:r w:rsidR="00167528">
              <w:rPr>
                <w:rFonts w:ascii="Verdana" w:hAnsi="Verdana" w:cs="Arial"/>
                <w:sz w:val="20"/>
                <w:szCs w:val="20"/>
              </w:rPr>
              <w:t>.</w:t>
            </w:r>
          </w:p>
        </w:tc>
      </w:tr>
      <w:tr w:rsidR="0058321D" w:rsidRPr="009A10F2" w:rsidTr="0058321D">
        <w:trPr>
          <w:cantSplit/>
          <w:trHeight w:val="50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FFFFFF"/>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50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FFFFFF"/>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461C85" w:rsidRPr="009A10F2" w:rsidTr="00461C85">
        <w:trPr>
          <w:cantSplit/>
        </w:trPr>
        <w:tc>
          <w:tcPr>
            <w:tcW w:w="5000" w:type="pct"/>
            <w:gridSpan w:val="3"/>
            <w:shd w:val="pct10" w:color="auto" w:fill="auto"/>
          </w:tcPr>
          <w:p w:rsidR="00461C85" w:rsidRPr="00472703" w:rsidRDefault="00461C85" w:rsidP="00691B31">
            <w:pPr>
              <w:autoSpaceDE w:val="0"/>
              <w:autoSpaceDN w:val="0"/>
              <w:adjustRightInd w:val="0"/>
              <w:spacing w:beforeLines="60" w:afterLines="60"/>
              <w:ind w:left="360"/>
              <w:rPr>
                <w:rFonts w:ascii="Verdana" w:hAnsi="Verdana" w:cs="Arial"/>
                <w:b/>
                <w:sz w:val="20"/>
                <w:szCs w:val="20"/>
              </w:rPr>
            </w:pPr>
            <w:r w:rsidRPr="00461C85">
              <w:rPr>
                <w:rFonts w:ascii="Verdana" w:hAnsi="Verdana" w:cs="Arial"/>
                <w:b/>
                <w:sz w:val="20"/>
                <w:szCs w:val="20"/>
              </w:rPr>
              <w:t xml:space="preserve">Facilities </w:t>
            </w:r>
            <w:r w:rsidR="0083188E">
              <w:rPr>
                <w:rFonts w:ascii="Verdana" w:hAnsi="Verdana" w:cs="Arial"/>
                <w:b/>
                <w:sz w:val="20"/>
                <w:szCs w:val="20"/>
              </w:rPr>
              <w:t xml:space="preserve"> </w:t>
            </w:r>
            <w:r w:rsidR="0083188E">
              <w:rPr>
                <w:rFonts w:ascii="Verdana" w:hAnsi="Verdana" w:cs="Arial"/>
                <w:sz w:val="20"/>
                <w:szCs w:val="20"/>
              </w:rPr>
              <w:t>Appropriation:  $106.5</w:t>
            </w:r>
            <w:r w:rsidR="004D4C38" w:rsidRPr="0024589C">
              <w:rPr>
                <w:rFonts w:ascii="Verdana" w:hAnsi="Verdana" w:cs="Arial"/>
                <w:sz w:val="20"/>
                <w:szCs w:val="20"/>
              </w:rPr>
              <w:t xml:space="preserve"> million, </w:t>
            </w:r>
            <w:r w:rsidR="0083188E">
              <w:rPr>
                <w:rFonts w:ascii="Verdana" w:hAnsi="Verdana" w:cs="Arial"/>
                <w:sz w:val="20"/>
                <w:szCs w:val="20"/>
              </w:rPr>
              <w:t>311</w:t>
            </w:r>
            <w:r w:rsidR="004D4C38" w:rsidRPr="0024589C">
              <w:rPr>
                <w:rFonts w:ascii="Verdana" w:hAnsi="Verdana" w:cs="Arial"/>
                <w:sz w:val="20"/>
                <w:szCs w:val="20"/>
              </w:rPr>
              <w:t xml:space="preserve"> FTE</w:t>
            </w:r>
          </w:p>
        </w:tc>
      </w:tr>
      <w:tr w:rsidR="0058321D" w:rsidRPr="009A10F2" w:rsidTr="0058321D">
        <w:trPr>
          <w:cantSplit/>
          <w:trHeight w:val="450"/>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DA7F34" w:rsidRDefault="00461C85" w:rsidP="00691B31">
            <w:pPr>
              <w:autoSpaceDE w:val="0"/>
              <w:autoSpaceDN w:val="0"/>
              <w:adjustRightInd w:val="0"/>
              <w:spacing w:beforeLines="60" w:afterLines="60"/>
              <w:ind w:left="360"/>
              <w:rPr>
                <w:rFonts w:ascii="Verdana" w:hAnsi="Verdana" w:cs="Arial"/>
                <w:sz w:val="20"/>
                <w:szCs w:val="20"/>
              </w:rPr>
            </w:pPr>
            <w:r w:rsidRPr="00DA7F34">
              <w:rPr>
                <w:rFonts w:ascii="Verdana" w:hAnsi="Verdana" w:cs="Arial"/>
                <w:b/>
                <w:sz w:val="20"/>
                <w:szCs w:val="20"/>
              </w:rPr>
              <w:t>Facilities Management</w:t>
            </w:r>
            <w:r w:rsidRPr="00DA7F34">
              <w:rPr>
                <w:rFonts w:ascii="Verdana" w:hAnsi="Verdana" w:cs="Arial"/>
                <w:sz w:val="20"/>
                <w:szCs w:val="20"/>
              </w:rPr>
              <w:t xml:space="preserve"> </w:t>
            </w:r>
            <w:r w:rsidR="00DA7F34" w:rsidRPr="00DA7F34">
              <w:rPr>
                <w:rFonts w:ascii="Verdana" w:hAnsi="Verdana" w:cs="Arial"/>
                <w:sz w:val="20"/>
                <w:szCs w:val="20"/>
              </w:rPr>
              <w:t xml:space="preserve">provides operation and maintenance services for 7.8 million gross square feet of state-owned buildings and serves as the state's operation and maintenance resource for state facilities.  The program </w:t>
            </w:r>
            <w:r w:rsidRPr="00DA7F34">
              <w:rPr>
                <w:rFonts w:ascii="Verdana" w:hAnsi="Verdana" w:cs="Arial"/>
                <w:sz w:val="20"/>
                <w:szCs w:val="20"/>
              </w:rPr>
              <w:t>provides building oversight, including customer service, security, utility payments, parking, building improvement and maintenance and fiscal oversight of the department managed facilities.</w:t>
            </w:r>
          </w:p>
        </w:tc>
      </w:tr>
      <w:tr w:rsidR="0058321D" w:rsidRPr="009A10F2" w:rsidTr="0058321D">
        <w:trPr>
          <w:cantSplit/>
          <w:trHeight w:val="45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5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50"/>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58321D"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 xml:space="preserve">Building Construction </w:t>
            </w:r>
            <w:r w:rsidR="00167528" w:rsidRPr="00167528">
              <w:rPr>
                <w:rFonts w:ascii="Verdana" w:hAnsi="Verdana" w:cs="Arial"/>
                <w:sz w:val="20"/>
                <w:szCs w:val="20"/>
              </w:rPr>
              <w:t>serves as the owner-representative on behalf of the state in fixed capital outlay appropriations management and project management oversight. This service acts solely in the public interest to ensure that the value received is equal to the funds expended on state construction projects. This service manages fixed capital outlay appropriations for both DMS’s and other state agencies’ construction projects by providing project management oversight for the construction, renovation, repair, modification, or demolition of buildings, utilities, parks, parking lots, and other facilities or improvements.</w:t>
            </w:r>
          </w:p>
        </w:tc>
      </w:tr>
      <w:tr w:rsidR="0058321D" w:rsidRPr="009A10F2" w:rsidTr="0058321D">
        <w:trPr>
          <w:cantSplit/>
          <w:trHeight w:val="45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5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375"/>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58321D" w:rsidRDefault="00461C85" w:rsidP="00691B31">
            <w:pPr>
              <w:autoSpaceDE w:val="0"/>
              <w:autoSpaceDN w:val="0"/>
              <w:adjustRightInd w:val="0"/>
              <w:spacing w:beforeLines="60" w:afterLines="60"/>
              <w:ind w:left="360"/>
              <w:rPr>
                <w:rFonts w:ascii="Verdana" w:hAnsi="Verdana" w:cs="Arial"/>
                <w:sz w:val="20"/>
                <w:szCs w:val="20"/>
              </w:rPr>
            </w:pPr>
            <w:r w:rsidRPr="00DA7F34">
              <w:rPr>
                <w:rFonts w:ascii="Verdana" w:hAnsi="Verdana" w:cs="Arial"/>
                <w:b/>
                <w:sz w:val="20"/>
                <w:szCs w:val="20"/>
              </w:rPr>
              <w:t xml:space="preserve">Leasing and Acquisitions </w:t>
            </w:r>
            <w:r w:rsidRPr="00DA7F34">
              <w:rPr>
                <w:rFonts w:ascii="Verdana" w:hAnsi="Verdana" w:cs="Arial"/>
                <w:sz w:val="20"/>
                <w:szCs w:val="20"/>
              </w:rPr>
              <w:t>serves as the liaison with tenant agencies that occupy the department managed facilities and assists agencies in acquiring private leased space as needed.</w:t>
            </w:r>
            <w:r w:rsidR="00DA7F34">
              <w:rPr>
                <w:rFonts w:ascii="Verdana" w:hAnsi="Verdana" w:cs="Arial"/>
                <w:sz w:val="20"/>
                <w:szCs w:val="20"/>
              </w:rPr>
              <w:t xml:space="preserve">  DMS </w:t>
            </w:r>
            <w:r w:rsidR="00DA7F34" w:rsidRPr="00DA7F34">
              <w:rPr>
                <w:rFonts w:ascii="Verdana" w:hAnsi="Verdana" w:cs="Arial"/>
                <w:sz w:val="20"/>
                <w:szCs w:val="20"/>
              </w:rPr>
              <w:t xml:space="preserve">has responsibility for developing, operating, and maintaining state-owned facilities and overseeing the state’s process for leasing privately owned spaces. The </w:t>
            </w:r>
            <w:r w:rsidR="00DA7F34" w:rsidRPr="00DA7F34">
              <w:rPr>
                <w:rFonts w:ascii="Verdana" w:hAnsi="Verdana" w:cs="Arial"/>
                <w:sz w:val="20"/>
                <w:szCs w:val="20"/>
              </w:rPr>
              <w:lastRenderedPageBreak/>
              <w:t>division oversees, reviews, and approves agency estimates of space needs and proposed lease conditions. Agencies must use competitive processes to lease space of 5,000 square feet or more and typically enter into leases using a standard agreement developed by the department. Agencies may not lease privately owned space when suitable space is available in a state-owned building in the same geographic region, unless they receive prior department approval.</w:t>
            </w:r>
          </w:p>
        </w:tc>
      </w:tr>
      <w:tr w:rsidR="0058321D" w:rsidRPr="009A10F2" w:rsidTr="0058321D">
        <w:trPr>
          <w:cantSplit/>
          <w:trHeight w:val="37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37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295"/>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3F05D9" w:rsidRPr="0058321D"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bCs/>
                <w:sz w:val="20"/>
                <w:szCs w:val="20"/>
              </w:rPr>
              <w:t xml:space="preserve">Governor’s Mansion Commission </w:t>
            </w:r>
            <w:r w:rsidRPr="00461C85">
              <w:rPr>
                <w:rFonts w:ascii="Verdana" w:hAnsi="Verdana" w:cs="Arial"/>
                <w:sz w:val="20"/>
                <w:szCs w:val="20"/>
              </w:rPr>
              <w:t xml:space="preserve">was established to keep the structure, style, and character of the mansion and grounds consistent with its original plan of design. It is responsible for preserving and protecting antiques, furniture, fixtures, and decorative objects, acceptance of gifts, contributions, bequests, or loans, and employing a full-time curator. The commission consists of eight members: The </w:t>
            </w:r>
            <w:r w:rsidR="00A17806" w:rsidRPr="00461C85">
              <w:rPr>
                <w:rFonts w:ascii="Verdana" w:hAnsi="Verdana" w:cs="Arial"/>
                <w:sz w:val="20"/>
                <w:szCs w:val="20"/>
              </w:rPr>
              <w:t>department employs</w:t>
            </w:r>
            <w:r w:rsidRPr="00461C85">
              <w:rPr>
                <w:rFonts w:ascii="Verdana" w:hAnsi="Verdana" w:cs="Arial"/>
                <w:sz w:val="20"/>
                <w:szCs w:val="20"/>
              </w:rPr>
              <w:t xml:space="preserve"> a full-time curator on behalf of the commission.</w:t>
            </w:r>
          </w:p>
        </w:tc>
      </w:tr>
      <w:tr w:rsidR="00276DFA" w:rsidRPr="009A10F2" w:rsidTr="0058321D">
        <w:trPr>
          <w:cantSplit/>
          <w:trHeight w:val="295"/>
        </w:trPr>
        <w:tc>
          <w:tcPr>
            <w:tcW w:w="314" w:type="pct"/>
          </w:tcPr>
          <w:p w:rsidR="00276DFA" w:rsidRPr="009A10F2" w:rsidRDefault="00276DFA" w:rsidP="00691B31">
            <w:pPr>
              <w:spacing w:beforeLines="60" w:afterLines="60"/>
              <w:rPr>
                <w:rFonts w:ascii="Verdana" w:hAnsi="Verdana" w:cs="Arial"/>
                <w:sz w:val="16"/>
                <w:szCs w:val="16"/>
              </w:rPr>
            </w:pPr>
          </w:p>
        </w:tc>
        <w:tc>
          <w:tcPr>
            <w:tcW w:w="380" w:type="pct"/>
          </w:tcPr>
          <w:p w:rsidR="00276DFA" w:rsidRPr="009A10F2" w:rsidRDefault="00276DFA"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276DFA" w:rsidRPr="009A10F2" w:rsidRDefault="00276DFA" w:rsidP="00691B31">
            <w:pPr>
              <w:autoSpaceDE w:val="0"/>
              <w:autoSpaceDN w:val="0"/>
              <w:adjustRightInd w:val="0"/>
              <w:spacing w:beforeLines="60" w:afterLines="60"/>
              <w:ind w:left="360"/>
              <w:rPr>
                <w:rFonts w:ascii="Verdana" w:hAnsi="Verdana" w:cs="Arial"/>
                <w:sz w:val="20"/>
                <w:szCs w:val="20"/>
              </w:rPr>
            </w:pPr>
          </w:p>
        </w:tc>
      </w:tr>
      <w:tr w:rsidR="00276DFA" w:rsidRPr="009A10F2" w:rsidTr="0058321D">
        <w:trPr>
          <w:cantSplit/>
          <w:trHeight w:val="295"/>
        </w:trPr>
        <w:tc>
          <w:tcPr>
            <w:tcW w:w="314" w:type="pct"/>
          </w:tcPr>
          <w:p w:rsidR="00276DFA" w:rsidRPr="009A10F2" w:rsidRDefault="00276DFA" w:rsidP="00691B31">
            <w:pPr>
              <w:spacing w:beforeLines="60" w:afterLines="60"/>
              <w:rPr>
                <w:rFonts w:ascii="Verdana" w:hAnsi="Verdana" w:cs="Arial"/>
                <w:sz w:val="16"/>
                <w:szCs w:val="16"/>
              </w:rPr>
            </w:pPr>
          </w:p>
        </w:tc>
        <w:tc>
          <w:tcPr>
            <w:tcW w:w="380" w:type="pct"/>
          </w:tcPr>
          <w:p w:rsidR="00276DFA" w:rsidRPr="009A10F2" w:rsidRDefault="00276DFA"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276DFA" w:rsidRPr="009A10F2" w:rsidRDefault="00276DFA"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Pr>
        <w:tc>
          <w:tcPr>
            <w:tcW w:w="5000" w:type="pct"/>
            <w:gridSpan w:val="3"/>
            <w:shd w:val="pct10" w:color="auto" w:fill="auto"/>
          </w:tcPr>
          <w:p w:rsidR="0058321D" w:rsidRPr="00472703" w:rsidRDefault="00461C85" w:rsidP="00691B31">
            <w:pPr>
              <w:autoSpaceDE w:val="0"/>
              <w:autoSpaceDN w:val="0"/>
              <w:adjustRightInd w:val="0"/>
              <w:spacing w:beforeLines="60" w:afterLines="60"/>
              <w:ind w:left="360"/>
              <w:rPr>
                <w:rFonts w:ascii="Verdana" w:hAnsi="Verdana" w:cs="Arial"/>
                <w:b/>
                <w:sz w:val="20"/>
                <w:szCs w:val="20"/>
              </w:rPr>
            </w:pPr>
            <w:r w:rsidRPr="00461C85">
              <w:rPr>
                <w:rFonts w:ascii="Verdana" w:hAnsi="Verdana" w:cs="Arial"/>
                <w:b/>
                <w:sz w:val="20"/>
                <w:szCs w:val="20"/>
              </w:rPr>
              <w:t xml:space="preserve">Support </w:t>
            </w:r>
            <w:r w:rsidR="0083188E">
              <w:rPr>
                <w:rFonts w:ascii="Verdana" w:hAnsi="Verdana" w:cs="Arial"/>
                <w:b/>
                <w:sz w:val="20"/>
                <w:szCs w:val="20"/>
              </w:rPr>
              <w:t xml:space="preserve"> </w:t>
            </w:r>
            <w:r w:rsidR="0083188E" w:rsidRPr="0024589C">
              <w:rPr>
                <w:rFonts w:ascii="Verdana" w:hAnsi="Verdana" w:cs="Arial"/>
                <w:sz w:val="20"/>
                <w:szCs w:val="20"/>
              </w:rPr>
              <w:t>Appropriation:  $</w:t>
            </w:r>
            <w:r w:rsidR="0083188E">
              <w:rPr>
                <w:rFonts w:ascii="Verdana" w:hAnsi="Verdana" w:cs="Arial"/>
                <w:sz w:val="20"/>
                <w:szCs w:val="20"/>
              </w:rPr>
              <w:t>28.8</w:t>
            </w:r>
            <w:r w:rsidR="0083188E" w:rsidRPr="0024589C">
              <w:rPr>
                <w:rFonts w:ascii="Verdana" w:hAnsi="Verdana" w:cs="Arial"/>
                <w:sz w:val="20"/>
                <w:szCs w:val="20"/>
              </w:rPr>
              <w:t xml:space="preserve"> million, </w:t>
            </w:r>
            <w:r w:rsidR="0083188E">
              <w:rPr>
                <w:rFonts w:ascii="Verdana" w:hAnsi="Verdana" w:cs="Arial"/>
                <w:sz w:val="20"/>
                <w:szCs w:val="20"/>
              </w:rPr>
              <w:t>97</w:t>
            </w:r>
            <w:r w:rsidR="0083188E" w:rsidRPr="0024589C">
              <w:rPr>
                <w:rFonts w:ascii="Verdana" w:hAnsi="Verdana" w:cs="Arial"/>
                <w:sz w:val="20"/>
                <w:szCs w:val="20"/>
              </w:rPr>
              <w:t xml:space="preserve"> FTE</w:t>
            </w:r>
          </w:p>
        </w:tc>
      </w:tr>
      <w:tr w:rsidR="0058321D" w:rsidRPr="009A10F2" w:rsidTr="0058321D">
        <w:trPr>
          <w:cantSplit/>
          <w:trHeight w:val="385"/>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3F05D9" w:rsidRPr="003F05D9" w:rsidRDefault="00461C85" w:rsidP="00691B31">
            <w:pPr>
              <w:autoSpaceDE w:val="0"/>
              <w:autoSpaceDN w:val="0"/>
              <w:adjustRightInd w:val="0"/>
              <w:spacing w:beforeLines="60" w:afterLines="60"/>
              <w:ind w:left="360"/>
              <w:rPr>
                <w:rFonts w:ascii="ZapfCalligraphic801BT-Roman" w:hAnsi="ZapfCalligraphic801BT-Roman" w:cs="ZapfCalligraphic801BT-Roman"/>
                <w:sz w:val="22"/>
                <w:szCs w:val="22"/>
              </w:rPr>
            </w:pPr>
            <w:r w:rsidRPr="00461C85">
              <w:rPr>
                <w:rFonts w:ascii="Verdana" w:hAnsi="Verdana" w:cs="Arial"/>
                <w:b/>
                <w:sz w:val="20"/>
                <w:szCs w:val="20"/>
              </w:rPr>
              <w:t xml:space="preserve">Aircraft Management </w:t>
            </w:r>
            <w:r w:rsidRPr="00461C85">
              <w:rPr>
                <w:rFonts w:ascii="Verdana" w:hAnsi="Verdana" w:cs="Arial"/>
                <w:sz w:val="20"/>
                <w:szCs w:val="20"/>
              </w:rPr>
              <w:t>oversees, maintains and operates the state-owned executive on-demand aircraft used by the Governor, Cabinet and other state officials. The Bureau</w:t>
            </w:r>
            <w:r w:rsidRPr="003F05D9">
              <w:rPr>
                <w:rFonts w:ascii="Verdana" w:hAnsi="Verdana" w:cs="Arial"/>
                <w:b/>
                <w:sz w:val="20"/>
                <w:szCs w:val="20"/>
              </w:rPr>
              <w:t xml:space="preserve"> </w:t>
            </w:r>
            <w:r w:rsidRPr="00461C85">
              <w:rPr>
                <w:rFonts w:ascii="Verdana" w:hAnsi="Verdana" w:cs="Arial"/>
                <w:sz w:val="20"/>
                <w:szCs w:val="20"/>
              </w:rPr>
              <w:t xml:space="preserve">is responsible for all operational and safety standards, assignment and reporting. </w:t>
            </w:r>
            <w:r w:rsidRPr="003F05D9">
              <w:rPr>
                <w:rFonts w:ascii="Verdana" w:hAnsi="Verdana" w:cs="Arial"/>
                <w:sz w:val="20"/>
                <w:szCs w:val="20"/>
              </w:rPr>
              <w:t xml:space="preserve">The state’s executive aircraft pool consists of </w:t>
            </w:r>
            <w:r w:rsidR="003F05D9" w:rsidRPr="003F05D9">
              <w:rPr>
                <w:rFonts w:ascii="Verdana" w:hAnsi="Verdana" w:cs="Arial"/>
                <w:sz w:val="20"/>
                <w:szCs w:val="20"/>
              </w:rPr>
              <w:t>one Cessna Citation Bravo and one King Air 350</w:t>
            </w:r>
            <w:r w:rsidRPr="003F05D9">
              <w:rPr>
                <w:rFonts w:ascii="Verdana" w:hAnsi="Verdana" w:cs="Arial"/>
                <w:sz w:val="20"/>
                <w:szCs w:val="20"/>
              </w:rPr>
              <w:t xml:space="preserve">. Executive Aircraft provides transportation to destinations throughout Florida, including cities with limited or nonexistent commercial airline service, and to numerous cities outside the State. </w:t>
            </w:r>
            <w:r w:rsidR="003F05D9" w:rsidRPr="003F05D9">
              <w:rPr>
                <w:rFonts w:ascii="Verdana" w:hAnsi="Verdana" w:cs="Arial"/>
                <w:sz w:val="20"/>
                <w:szCs w:val="20"/>
              </w:rPr>
              <w:t>Access to pool aircraft enables state executives to travel to locations where commercial airline service is limited or not available and saves them time by avoiding airport delays. In addition, pool aircraft provide higher security for officials such as the Governor, who could be targeted while flying</w:t>
            </w:r>
            <w:r w:rsidR="003F05D9">
              <w:rPr>
                <w:rFonts w:ascii="Verdana" w:hAnsi="Verdana" w:cs="Arial"/>
                <w:sz w:val="20"/>
                <w:szCs w:val="20"/>
              </w:rPr>
              <w:t xml:space="preserve"> </w:t>
            </w:r>
            <w:r w:rsidR="003F05D9" w:rsidRPr="003F05D9">
              <w:rPr>
                <w:rFonts w:ascii="Verdana" w:hAnsi="Verdana" w:cs="Arial"/>
                <w:sz w:val="20"/>
                <w:szCs w:val="20"/>
              </w:rPr>
              <w:t>with commercial airlines.</w:t>
            </w:r>
          </w:p>
        </w:tc>
      </w:tr>
      <w:tr w:rsidR="0058321D" w:rsidRPr="009A10F2" w:rsidTr="0058321D">
        <w:trPr>
          <w:cantSplit/>
          <w:trHeight w:val="38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38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630"/>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3F05D9" w:rsidRPr="0058321D"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 xml:space="preserve">Federal Property Assistance </w:t>
            </w:r>
            <w:r w:rsidR="005F6102" w:rsidRPr="005F6102">
              <w:rPr>
                <w:rFonts w:ascii="Verdana" w:hAnsi="Verdana" w:cs="Arial"/>
                <w:sz w:val="20"/>
                <w:szCs w:val="20"/>
              </w:rPr>
              <w:t>serves the state by identifying, receiving, and distributing federal surplus property for the state’s eligible political subdivisions, educational and health organizations. This includes providing the state’s law enforcement agencies with access to excess military personal property. These activities require DMS to maintain compliance with federal regulations and procedures for both federal surplus as well as excess military personal property sources. Federal Property Assistance reviews available assets physically on-site at military and Federal civilian agency holding depots. The program utilizes web-accessible surplus/excess databases of the U.S. General</w:t>
            </w:r>
            <w:r w:rsidR="005F6102">
              <w:rPr>
                <w:rFonts w:ascii="Verdana" w:hAnsi="Verdana" w:cs="Arial"/>
                <w:sz w:val="20"/>
                <w:szCs w:val="20"/>
              </w:rPr>
              <w:t xml:space="preserve"> Services Administration</w:t>
            </w:r>
            <w:r w:rsidR="005F6102" w:rsidRPr="005F6102">
              <w:rPr>
                <w:rFonts w:ascii="Verdana" w:hAnsi="Verdana" w:cs="Arial"/>
                <w:sz w:val="20"/>
                <w:szCs w:val="20"/>
              </w:rPr>
              <w:t xml:space="preserve"> and the U.S. Defense Logistics Agency. The program is entirely funded by the </w:t>
            </w:r>
            <w:r w:rsidR="005F6102">
              <w:rPr>
                <w:rFonts w:ascii="Verdana" w:hAnsi="Verdana" w:cs="Arial"/>
                <w:sz w:val="20"/>
                <w:szCs w:val="20"/>
              </w:rPr>
              <w:t xml:space="preserve">Surplus </w:t>
            </w:r>
            <w:r w:rsidR="005F6102" w:rsidRPr="005F6102">
              <w:rPr>
                <w:rFonts w:ascii="Verdana" w:hAnsi="Verdana" w:cs="Arial"/>
                <w:sz w:val="20"/>
                <w:szCs w:val="20"/>
              </w:rPr>
              <w:t xml:space="preserve">Property Revolving Trust Fund, which is funded by revenues from service charges assessed to eligible </w:t>
            </w:r>
            <w:proofErr w:type="spellStart"/>
            <w:r w:rsidR="005F6102" w:rsidRPr="005F6102">
              <w:rPr>
                <w:rFonts w:ascii="Verdana" w:hAnsi="Verdana" w:cs="Arial"/>
                <w:sz w:val="20"/>
                <w:szCs w:val="20"/>
              </w:rPr>
              <w:t>donees</w:t>
            </w:r>
            <w:proofErr w:type="spellEnd"/>
            <w:r w:rsidR="005F6102" w:rsidRPr="005F6102">
              <w:rPr>
                <w:rFonts w:ascii="Verdana" w:hAnsi="Verdana" w:cs="Arial"/>
                <w:sz w:val="20"/>
                <w:szCs w:val="20"/>
              </w:rPr>
              <w:t>.</w:t>
            </w:r>
          </w:p>
        </w:tc>
      </w:tr>
      <w:tr w:rsidR="0058321D" w:rsidRPr="009A10F2" w:rsidTr="0058321D">
        <w:trPr>
          <w:cantSplit/>
          <w:trHeight w:val="63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63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385"/>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58321D" w:rsidRDefault="005F6102" w:rsidP="00691B31">
            <w:pPr>
              <w:autoSpaceDE w:val="0"/>
              <w:autoSpaceDN w:val="0"/>
              <w:adjustRightInd w:val="0"/>
              <w:spacing w:beforeLines="60" w:afterLines="60"/>
              <w:ind w:left="360"/>
              <w:rPr>
                <w:rFonts w:ascii="Verdana" w:hAnsi="Verdana" w:cs="Arial"/>
                <w:sz w:val="20"/>
                <w:szCs w:val="20"/>
              </w:rPr>
            </w:pPr>
            <w:r>
              <w:rPr>
                <w:rFonts w:ascii="Verdana" w:hAnsi="Verdana" w:cs="Arial"/>
                <w:b/>
                <w:sz w:val="20"/>
                <w:szCs w:val="20"/>
              </w:rPr>
              <w:t>Fleet Management</w:t>
            </w:r>
            <w:r w:rsidR="00461C85" w:rsidRPr="00461C85">
              <w:rPr>
                <w:rFonts w:ascii="Verdana" w:hAnsi="Verdana" w:cs="Arial"/>
                <w:b/>
                <w:sz w:val="20"/>
                <w:szCs w:val="20"/>
              </w:rPr>
              <w:t xml:space="preserve"> </w:t>
            </w:r>
            <w:r w:rsidR="00461C85" w:rsidRPr="00461C85">
              <w:rPr>
                <w:rFonts w:ascii="Verdana" w:hAnsi="Verdana" w:cs="Arial"/>
                <w:sz w:val="20"/>
                <w:szCs w:val="20"/>
              </w:rPr>
              <w:t xml:space="preserve">develops policies, procedures and best practices for the effective and efficient acquisition, assignment, use, maintenance and disposal of 25,000 pieces of state-owned mobile equipment, including automobiles and light, medium and heavy trucks, construction and industrial equipment, tractors and mowers, small utility motorcycles, ATVs and watercraft. State agencies are directly responsible for the purchase, maintenance and use of their own vehicles. The department reviews agency purchase requests to ensure efficiency, tracks the fleets and coordinates the disposal of state-owned vehicles. </w:t>
            </w:r>
          </w:p>
        </w:tc>
      </w:tr>
      <w:tr w:rsidR="0058321D" w:rsidRPr="009A10F2" w:rsidTr="0058321D">
        <w:trPr>
          <w:cantSplit/>
          <w:trHeight w:val="38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38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70"/>
        </w:trPr>
        <w:tc>
          <w:tcPr>
            <w:tcW w:w="314" w:type="pct"/>
          </w:tcPr>
          <w:p w:rsidR="0058321D" w:rsidRPr="009A10F2" w:rsidRDefault="0058321D" w:rsidP="00691B31">
            <w:pPr>
              <w:autoSpaceDE w:val="0"/>
              <w:autoSpaceDN w:val="0"/>
              <w:adjustRightInd w:val="0"/>
              <w:spacing w:beforeLines="60" w:afterLines="60"/>
              <w:jc w:val="center"/>
              <w:rPr>
                <w:rFonts w:ascii="Verdana" w:hAnsi="Verdana" w:cs="Arial"/>
                <w:sz w:val="16"/>
                <w:szCs w:val="16"/>
              </w:rPr>
            </w:pPr>
          </w:p>
        </w:tc>
        <w:tc>
          <w:tcPr>
            <w:tcW w:w="380" w:type="pct"/>
          </w:tcPr>
          <w:p w:rsidR="0058321D" w:rsidRPr="009A10F2" w:rsidRDefault="0058321D" w:rsidP="00691B31">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EF4E23"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 xml:space="preserve">Purchasing Oversight </w:t>
            </w:r>
            <w:r w:rsidR="00EF4E23" w:rsidRPr="00EF4E23">
              <w:rPr>
                <w:rFonts w:ascii="Verdana" w:hAnsi="Verdana" w:cs="Arial"/>
                <w:sz w:val="20"/>
                <w:szCs w:val="20"/>
              </w:rPr>
              <w:t xml:space="preserve">provides executive direction, and establishes and administers state term contracts and </w:t>
            </w:r>
            <w:r w:rsidR="00EF4E23" w:rsidRPr="00EF4E23">
              <w:rPr>
                <w:rFonts w:ascii="Verdana" w:hAnsi="Verdana" w:cs="Arial"/>
                <w:sz w:val="20"/>
                <w:szCs w:val="20"/>
              </w:rPr>
              <w:lastRenderedPageBreak/>
              <w:t>negotiated agreements.</w:t>
            </w:r>
            <w:r w:rsidR="00EF4E23">
              <w:rPr>
                <w:rFonts w:ascii="Verdana" w:hAnsi="Verdana" w:cs="Arial"/>
                <w:sz w:val="20"/>
                <w:szCs w:val="20"/>
              </w:rPr>
              <w:t xml:space="preserve">  </w:t>
            </w:r>
            <w:r w:rsidRPr="00461C85">
              <w:rPr>
                <w:rFonts w:ascii="Verdana" w:hAnsi="Verdana" w:cs="Arial"/>
                <w:sz w:val="20"/>
                <w:szCs w:val="20"/>
              </w:rPr>
              <w:t xml:space="preserve">The Division of State Purchasing uses the combined purchasing power of the State of Florida to deliver the best value in goods and services for state agencies and other eligible users including local governments. The Division develops procurement best practices and provides agency training and oversees My Florida Market Place. </w:t>
            </w:r>
          </w:p>
          <w:p w:rsidR="007F2C26" w:rsidRPr="00EF4E23" w:rsidRDefault="00461C85" w:rsidP="00691B31">
            <w:pPr>
              <w:pStyle w:val="ListParagraph"/>
              <w:numPr>
                <w:ilvl w:val="0"/>
                <w:numId w:val="34"/>
              </w:numPr>
              <w:autoSpaceDE w:val="0"/>
              <w:autoSpaceDN w:val="0"/>
              <w:adjustRightInd w:val="0"/>
              <w:spacing w:beforeLines="60" w:afterLines="60"/>
              <w:rPr>
                <w:rFonts w:ascii="Verdana" w:hAnsi="Verdana" w:cs="Arial"/>
                <w:sz w:val="20"/>
                <w:szCs w:val="20"/>
              </w:rPr>
            </w:pPr>
            <w:r w:rsidRPr="00EF4E23">
              <w:rPr>
                <w:rFonts w:ascii="Verdana" w:hAnsi="Verdana" w:cs="Arial"/>
                <w:b/>
                <w:sz w:val="20"/>
                <w:szCs w:val="20"/>
              </w:rPr>
              <w:t>My Florida Market Place</w:t>
            </w:r>
            <w:r w:rsidRPr="00EF4E23">
              <w:rPr>
                <w:rFonts w:ascii="Verdana" w:hAnsi="Verdana" w:cs="Arial"/>
                <w:sz w:val="20"/>
                <w:szCs w:val="20"/>
              </w:rPr>
              <w:t xml:space="preserve"> is an electronic procurement system that enables the State and other government entities to efficiently purchase, receive, and pay for goods and services from the desktop.</w:t>
            </w:r>
            <w:r w:rsidR="00EF4E23" w:rsidRPr="00EF4E23">
              <w:rPr>
                <w:rFonts w:ascii="Verdana" w:hAnsi="Verdana" w:cs="Arial"/>
                <w:sz w:val="20"/>
                <w:szCs w:val="20"/>
              </w:rPr>
              <w:t xml:space="preserve"> The original contract with Accenture was signed on October 9, 2002 with a 61-month period of performance. The value of the initial contract was $92M, which was increased to $114M when the contract was extended. The project is financed through one percent transaction fees paid by vendors doing business with the State</w:t>
            </w:r>
          </w:p>
        </w:tc>
      </w:tr>
      <w:tr w:rsidR="0058321D" w:rsidRPr="009A10F2" w:rsidTr="0058321D">
        <w:trPr>
          <w:cantSplit/>
          <w:trHeight w:val="470"/>
        </w:trPr>
        <w:tc>
          <w:tcPr>
            <w:tcW w:w="314" w:type="pct"/>
          </w:tcPr>
          <w:p w:rsidR="0058321D" w:rsidRPr="009A10F2" w:rsidRDefault="0058321D" w:rsidP="00691B31">
            <w:pPr>
              <w:autoSpaceDE w:val="0"/>
              <w:autoSpaceDN w:val="0"/>
              <w:adjustRightInd w:val="0"/>
              <w:spacing w:beforeLines="60" w:afterLines="60"/>
              <w:rPr>
                <w:rFonts w:ascii="Verdana" w:hAnsi="Verdana" w:cs="Arial"/>
                <w:sz w:val="16"/>
                <w:szCs w:val="16"/>
              </w:rPr>
            </w:pPr>
          </w:p>
        </w:tc>
        <w:tc>
          <w:tcPr>
            <w:tcW w:w="380" w:type="pct"/>
          </w:tcPr>
          <w:p w:rsidR="0058321D" w:rsidRPr="009A10F2" w:rsidRDefault="0058321D" w:rsidP="00691B31">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70"/>
        </w:trPr>
        <w:tc>
          <w:tcPr>
            <w:tcW w:w="314" w:type="pct"/>
          </w:tcPr>
          <w:p w:rsidR="0058321D" w:rsidRPr="009A10F2" w:rsidRDefault="0058321D" w:rsidP="00691B31">
            <w:pPr>
              <w:autoSpaceDE w:val="0"/>
              <w:autoSpaceDN w:val="0"/>
              <w:adjustRightInd w:val="0"/>
              <w:spacing w:beforeLines="60" w:afterLines="60"/>
              <w:rPr>
                <w:rFonts w:ascii="Verdana" w:hAnsi="Verdana" w:cs="Arial"/>
                <w:sz w:val="16"/>
                <w:szCs w:val="16"/>
              </w:rPr>
            </w:pPr>
          </w:p>
        </w:tc>
        <w:tc>
          <w:tcPr>
            <w:tcW w:w="380" w:type="pct"/>
          </w:tcPr>
          <w:p w:rsidR="0058321D" w:rsidRPr="009A10F2" w:rsidRDefault="0058321D" w:rsidP="00691B31">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70"/>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58321D"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Office of Efficient Government</w:t>
            </w:r>
            <w:r w:rsidRPr="00461C85">
              <w:rPr>
                <w:rFonts w:ascii="Verdana" w:hAnsi="Verdana" w:cs="Arial"/>
                <w:sz w:val="20"/>
                <w:szCs w:val="20"/>
              </w:rPr>
              <w:t xml:space="preserve"> provides staff support for the Council on Efficient Government which was created by the 2006 Legislature to help state agencies identify, evaluate and develop innovative business solutions that improve the efficiency, effectiveness and accountability of government services. The council consists of seven members appointed by the Governor, with the Secretary of the Department of Management Services serving as Chair. </w:t>
            </w:r>
          </w:p>
        </w:tc>
      </w:tr>
      <w:tr w:rsidR="0058321D" w:rsidRPr="009A10F2" w:rsidTr="0058321D">
        <w:trPr>
          <w:cantSplit/>
          <w:trHeight w:val="47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7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70"/>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58321D"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 xml:space="preserve">Private Prison Monitoring </w:t>
            </w:r>
            <w:r w:rsidRPr="00461C85">
              <w:rPr>
                <w:rFonts w:ascii="Verdana" w:hAnsi="Verdana" w:cs="Arial"/>
                <w:sz w:val="20"/>
                <w:szCs w:val="20"/>
              </w:rPr>
              <w:t xml:space="preserve">provides contract management oversight for the security and operation of Florida’s private prison system. </w:t>
            </w:r>
            <w:r w:rsidR="00D8006D" w:rsidRPr="00D8006D">
              <w:rPr>
                <w:rFonts w:ascii="Verdana" w:hAnsi="Verdana" w:cs="Arial"/>
                <w:sz w:val="20"/>
                <w:szCs w:val="20"/>
              </w:rPr>
              <w:t>The Legislature transferred the duties and responsibilities of the private prison program to DMS in 2004, after the dismantling of the Correctional Privatization Commission</w:t>
            </w:r>
            <w:r w:rsidR="00D8006D">
              <w:rPr>
                <w:rFonts w:ascii="Verdana" w:hAnsi="Verdana" w:cs="Arial"/>
                <w:sz w:val="20"/>
                <w:szCs w:val="20"/>
              </w:rPr>
              <w:t xml:space="preserve">.  </w:t>
            </w:r>
            <w:r w:rsidRPr="00461C85">
              <w:rPr>
                <w:rFonts w:ascii="Verdana" w:hAnsi="Verdana" w:cs="Arial"/>
                <w:sz w:val="20"/>
                <w:szCs w:val="20"/>
              </w:rPr>
              <w:t xml:space="preserve">The Department of Corrections maintains responsibility for the inmates housed in the facilities. </w:t>
            </w:r>
            <w:r w:rsidR="00D8006D" w:rsidRPr="00D8006D">
              <w:rPr>
                <w:rFonts w:ascii="Verdana" w:hAnsi="Verdana" w:cs="Arial"/>
                <w:sz w:val="20"/>
                <w:szCs w:val="20"/>
              </w:rPr>
              <w:t xml:space="preserve">Currently DMS oversees the operational contracts for six </w:t>
            </w:r>
            <w:r w:rsidR="00D8006D">
              <w:rPr>
                <w:rFonts w:ascii="Verdana" w:hAnsi="Verdana" w:cs="Arial"/>
                <w:sz w:val="20"/>
                <w:szCs w:val="20"/>
              </w:rPr>
              <w:t>correctional facilities</w:t>
            </w:r>
            <w:r w:rsidRPr="00461C85">
              <w:rPr>
                <w:rFonts w:ascii="Verdana" w:hAnsi="Verdana" w:cs="Arial"/>
                <w:sz w:val="20"/>
                <w:szCs w:val="20"/>
              </w:rPr>
              <w:t xml:space="preserve">. </w:t>
            </w:r>
            <w:r w:rsidR="00D8006D" w:rsidRPr="00D8006D">
              <w:rPr>
                <w:rFonts w:ascii="Verdana" w:hAnsi="Verdana" w:cs="Arial"/>
                <w:sz w:val="20"/>
                <w:szCs w:val="20"/>
              </w:rPr>
              <w:t>In addition, the Bureau is currently overseeing the construction of a new correctional facility located in Milton, Florida.</w:t>
            </w:r>
          </w:p>
        </w:tc>
      </w:tr>
      <w:tr w:rsidR="0058321D" w:rsidRPr="009A10F2" w:rsidTr="0058321D">
        <w:trPr>
          <w:cantSplit/>
          <w:trHeight w:val="47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470"/>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193"/>
        </w:trPr>
        <w:tc>
          <w:tcPr>
            <w:tcW w:w="314" w:type="pct"/>
          </w:tcPr>
          <w:p w:rsidR="0058321D" w:rsidRPr="009A10F2" w:rsidRDefault="0058321D" w:rsidP="00691B31">
            <w:pPr>
              <w:spacing w:beforeLines="60" w:afterLines="60"/>
              <w:jc w:val="center"/>
              <w:rPr>
                <w:rFonts w:ascii="Verdana" w:hAnsi="Verdana" w:cs="Arial"/>
                <w:i/>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Pr>
                <w:rFonts w:ascii="Verdana" w:hAnsi="Verdana" w:cs="Arial"/>
                <w:i/>
                <w:sz w:val="16"/>
                <w:szCs w:val="16"/>
              </w:rPr>
              <w:t>Continue</w:t>
            </w:r>
          </w:p>
        </w:tc>
        <w:tc>
          <w:tcPr>
            <w:tcW w:w="4306" w:type="pct"/>
            <w:vMerge w:val="restart"/>
          </w:tcPr>
          <w:p w:rsidR="007F2C26" w:rsidRPr="0058321D"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 xml:space="preserve">Office of Supplier Diversity </w:t>
            </w:r>
            <w:r w:rsidRPr="00461C85">
              <w:rPr>
                <w:rFonts w:ascii="Verdana" w:hAnsi="Verdana" w:cs="Arial"/>
                <w:sz w:val="20"/>
                <w:szCs w:val="20"/>
              </w:rPr>
              <w:t xml:space="preserve">was created in 1999 to encourage state agencies to diversify their spending and help small minority/women businesses compete for government business. The office </w:t>
            </w:r>
            <w:r w:rsidR="00D8006D" w:rsidRPr="00D8006D">
              <w:rPr>
                <w:rFonts w:ascii="Verdana" w:hAnsi="Verdana" w:cs="Arial"/>
                <w:sz w:val="20"/>
                <w:szCs w:val="20"/>
              </w:rPr>
              <w:t>oversees certification and registration of minority vendors that would like to do business with state agencies and universities. The office manages all aspects of the Equity in Contracting Plan, commonly called “One Florida.” The office collects data, reports minority business spending by agency, conducts compliance audits of certified minority businesses, certifies minority businesses, and maintains an online directory of certified minority business enterprises. The office provides outreach to state agencies, organizations, and vendors to assist in providing access to state contracting opportunities.</w:t>
            </w:r>
          </w:p>
        </w:tc>
      </w:tr>
      <w:tr w:rsidR="0058321D" w:rsidRPr="009A10F2" w:rsidTr="0058321D">
        <w:trPr>
          <w:cantSplit/>
          <w:trHeight w:val="193"/>
        </w:trPr>
        <w:tc>
          <w:tcPr>
            <w:tcW w:w="314" w:type="pct"/>
          </w:tcPr>
          <w:p w:rsidR="0058321D" w:rsidRPr="009A10F2" w:rsidRDefault="0058321D" w:rsidP="00691B31">
            <w:pPr>
              <w:spacing w:beforeLines="60" w:afterLines="60"/>
              <w:rPr>
                <w:rFonts w:ascii="Verdana" w:hAnsi="Verdana" w:cs="Arial"/>
                <w:i/>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193"/>
        </w:trPr>
        <w:tc>
          <w:tcPr>
            <w:tcW w:w="314" w:type="pct"/>
          </w:tcPr>
          <w:p w:rsidR="0058321D" w:rsidRPr="009A10F2" w:rsidRDefault="0058321D" w:rsidP="00691B31">
            <w:pPr>
              <w:spacing w:beforeLines="60" w:afterLines="60"/>
              <w:rPr>
                <w:rFonts w:ascii="Verdana" w:hAnsi="Verdana" w:cs="Arial"/>
                <w:i/>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461C85" w:rsidRPr="009A10F2" w:rsidTr="00461C85">
        <w:trPr>
          <w:cantSplit/>
        </w:trPr>
        <w:tc>
          <w:tcPr>
            <w:tcW w:w="5000" w:type="pct"/>
            <w:gridSpan w:val="3"/>
            <w:shd w:val="clear" w:color="auto" w:fill="CCCCCC"/>
          </w:tcPr>
          <w:p w:rsidR="00461C85" w:rsidRPr="00472703" w:rsidRDefault="00461C85" w:rsidP="00691B31">
            <w:pPr>
              <w:autoSpaceDE w:val="0"/>
              <w:autoSpaceDN w:val="0"/>
              <w:adjustRightInd w:val="0"/>
              <w:spacing w:beforeLines="60" w:afterLines="60"/>
              <w:ind w:left="360"/>
              <w:rPr>
                <w:rFonts w:ascii="Verdana" w:hAnsi="Verdana" w:cs="Arial"/>
                <w:b/>
                <w:sz w:val="20"/>
                <w:szCs w:val="20"/>
              </w:rPr>
            </w:pPr>
            <w:r w:rsidRPr="00461C85">
              <w:rPr>
                <w:rFonts w:ascii="Verdana" w:hAnsi="Verdana" w:cs="Arial"/>
                <w:b/>
                <w:sz w:val="20"/>
                <w:szCs w:val="20"/>
              </w:rPr>
              <w:t xml:space="preserve">Workforce </w:t>
            </w:r>
            <w:r w:rsidR="0083188E">
              <w:rPr>
                <w:rFonts w:ascii="Verdana" w:hAnsi="Verdana" w:cs="Arial"/>
                <w:b/>
                <w:sz w:val="20"/>
                <w:szCs w:val="20"/>
              </w:rPr>
              <w:t xml:space="preserve"> </w:t>
            </w:r>
            <w:r w:rsidR="0083188E" w:rsidRPr="0024589C">
              <w:rPr>
                <w:rFonts w:ascii="Verdana" w:hAnsi="Verdana" w:cs="Arial"/>
                <w:sz w:val="20"/>
                <w:szCs w:val="20"/>
              </w:rPr>
              <w:t>Appropriation:  $</w:t>
            </w:r>
            <w:r w:rsidR="0083188E">
              <w:rPr>
                <w:rFonts w:ascii="Verdana" w:hAnsi="Verdana" w:cs="Arial"/>
                <w:sz w:val="20"/>
                <w:szCs w:val="20"/>
              </w:rPr>
              <w:t>109.2</w:t>
            </w:r>
            <w:r w:rsidR="0083188E" w:rsidRPr="0024589C">
              <w:rPr>
                <w:rFonts w:ascii="Verdana" w:hAnsi="Verdana" w:cs="Arial"/>
                <w:sz w:val="20"/>
                <w:szCs w:val="20"/>
              </w:rPr>
              <w:t xml:space="preserve"> million, </w:t>
            </w:r>
            <w:r w:rsidR="0083188E">
              <w:rPr>
                <w:rFonts w:ascii="Verdana" w:hAnsi="Verdana" w:cs="Arial"/>
                <w:sz w:val="20"/>
                <w:szCs w:val="20"/>
              </w:rPr>
              <w:t>264</w:t>
            </w:r>
            <w:r w:rsidR="0083188E" w:rsidRPr="0024589C">
              <w:rPr>
                <w:rFonts w:ascii="Verdana" w:hAnsi="Verdana" w:cs="Arial"/>
                <w:sz w:val="20"/>
                <w:szCs w:val="20"/>
              </w:rPr>
              <w:t xml:space="preserve"> FTE</w:t>
            </w:r>
            <w:r w:rsidRPr="00461C85">
              <w:rPr>
                <w:rFonts w:ascii="Verdana" w:hAnsi="Verdana" w:cs="Arial"/>
                <w:sz w:val="20"/>
                <w:szCs w:val="20"/>
              </w:rPr>
              <w:t>.</w:t>
            </w:r>
          </w:p>
        </w:tc>
      </w:tr>
      <w:tr w:rsidR="0058321D" w:rsidRPr="009A10F2" w:rsidTr="0058321D">
        <w:trPr>
          <w:cantSplit/>
          <w:trHeight w:val="385"/>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61C85" w:rsidRPr="00D35774"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 xml:space="preserve">Human Resource Management </w:t>
            </w:r>
            <w:bookmarkStart w:id="0" w:name="FGAR__Piece_Description"/>
            <w:r w:rsidR="00D35774" w:rsidRPr="00D35774">
              <w:rPr>
                <w:rFonts w:ascii="Verdana" w:hAnsi="Verdana" w:cs="Arial"/>
                <w:sz w:val="20"/>
                <w:szCs w:val="20"/>
              </w:rPr>
              <w:t xml:space="preserve">provides human resource services and solutions through the development of policies and the provision of technical assistance, training and information for the majority of the executive branch agencies which comprise the State Personnel System. </w:t>
            </w:r>
            <w:bookmarkEnd w:id="0"/>
            <w:r w:rsidR="00D35774" w:rsidRPr="00D35774">
              <w:rPr>
                <w:rFonts w:ascii="Verdana" w:hAnsi="Verdana" w:cs="Arial"/>
                <w:sz w:val="20"/>
                <w:szCs w:val="20"/>
              </w:rPr>
              <w:t xml:space="preserve">As of June 30, 2009, the State of Florida had 168,654 </w:t>
            </w:r>
            <w:r w:rsidR="00D35774" w:rsidRPr="00D35774">
              <w:rPr>
                <w:rFonts w:ascii="Verdana" w:hAnsi="Verdana" w:cs="Arial"/>
                <w:sz w:val="20"/>
                <w:szCs w:val="20"/>
              </w:rPr>
              <w:lastRenderedPageBreak/>
              <w:t>established positions.  These positions were classified into eight systems:  State Personnel System (109,476), State University System (42,469), Justice Administration (9,825), State Courts System (3,143), Legislature (1,699), Florida Lottery (436), and Other Systems and Pay Plans (1,606). T</w:t>
            </w:r>
            <w:r w:rsidRPr="00461C85">
              <w:rPr>
                <w:rFonts w:ascii="Verdana" w:hAnsi="Verdana" w:cs="Arial"/>
                <w:sz w:val="20"/>
                <w:szCs w:val="20"/>
              </w:rPr>
              <w:t xml:space="preserve">he Division of Human Resource Management oversees the human resource infrastructure for the State Personnel System and is responsible for oversight and contract management of </w:t>
            </w:r>
            <w:r w:rsidRPr="00D35774">
              <w:rPr>
                <w:rFonts w:ascii="Verdana" w:hAnsi="Verdana" w:cs="Arial"/>
                <w:sz w:val="20"/>
                <w:szCs w:val="20"/>
              </w:rPr>
              <w:t xml:space="preserve">People First.  </w:t>
            </w:r>
          </w:p>
          <w:p w:rsidR="007F2C26" w:rsidRPr="00D35774" w:rsidRDefault="00461C85" w:rsidP="00691B31">
            <w:pPr>
              <w:pStyle w:val="ListParagraph"/>
              <w:numPr>
                <w:ilvl w:val="0"/>
                <w:numId w:val="34"/>
              </w:numPr>
              <w:autoSpaceDE w:val="0"/>
              <w:autoSpaceDN w:val="0"/>
              <w:adjustRightInd w:val="0"/>
              <w:spacing w:beforeLines="60" w:afterLines="60"/>
              <w:rPr>
                <w:rFonts w:ascii="Verdana" w:hAnsi="Verdana" w:cs="Arial"/>
                <w:sz w:val="20"/>
                <w:szCs w:val="20"/>
              </w:rPr>
            </w:pPr>
            <w:r w:rsidRPr="00D35774">
              <w:rPr>
                <w:rFonts w:ascii="Verdana" w:hAnsi="Verdana" w:cs="Arial"/>
                <w:b/>
                <w:sz w:val="20"/>
                <w:szCs w:val="20"/>
              </w:rPr>
              <w:t>People First</w:t>
            </w:r>
            <w:r w:rsidRPr="00D35774">
              <w:rPr>
                <w:rFonts w:ascii="Verdana" w:hAnsi="Verdana" w:cs="Arial"/>
                <w:sz w:val="20"/>
                <w:szCs w:val="20"/>
              </w:rPr>
              <w:t xml:space="preserve"> is an electronic web-based human resource solution for personnel transactions, including: hiring, promoting, transferring, and other human resource functions; staffing administration; timesheet processing; leave usage and accrual; payroll preparation; and benefits administration.</w:t>
            </w:r>
            <w:r w:rsidR="00D35774" w:rsidRPr="00D35774">
              <w:rPr>
                <w:rFonts w:ascii="Verdana" w:hAnsi="Verdana" w:cs="Arial"/>
                <w:sz w:val="20"/>
                <w:szCs w:val="20"/>
              </w:rPr>
              <w:t xml:space="preserve">  The division funds a team of staff to manage the contract for </w:t>
            </w:r>
            <w:hyperlink r:id="rId8" w:history="1">
              <w:r w:rsidR="00D35774" w:rsidRPr="00D35774">
                <w:t>People First</w:t>
              </w:r>
            </w:hyperlink>
            <w:r w:rsidR="00D35774" w:rsidRPr="00D35774">
              <w:rPr>
                <w:rFonts w:ascii="Verdana" w:hAnsi="Verdana" w:cs="Arial"/>
                <w:sz w:val="20"/>
                <w:szCs w:val="20"/>
              </w:rPr>
              <w:t>.  In August 2011, the State of Florida’s contract with Convergys, the service provider for the system, will expire</w:t>
            </w:r>
          </w:p>
        </w:tc>
      </w:tr>
      <w:tr w:rsidR="0058321D" w:rsidRPr="009A10F2" w:rsidTr="0058321D">
        <w:trPr>
          <w:cantSplit/>
          <w:trHeight w:val="385"/>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38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472703" w:rsidTr="0058321D">
        <w:trPr>
          <w:cantSplit/>
          <w:trHeight w:val="385"/>
        </w:trPr>
        <w:tc>
          <w:tcPr>
            <w:tcW w:w="314" w:type="pct"/>
          </w:tcPr>
          <w:p w:rsidR="0058321D" w:rsidRPr="00472703" w:rsidRDefault="0058321D" w:rsidP="00691B31">
            <w:pPr>
              <w:spacing w:beforeLines="60" w:afterLines="60"/>
              <w:jc w:val="center"/>
              <w:rPr>
                <w:rFonts w:ascii="Verdana" w:hAnsi="Verdana" w:cs="Arial"/>
                <w:sz w:val="16"/>
                <w:szCs w:val="16"/>
              </w:rPr>
            </w:pPr>
          </w:p>
        </w:tc>
        <w:tc>
          <w:tcPr>
            <w:tcW w:w="380" w:type="pct"/>
          </w:tcPr>
          <w:p w:rsidR="0058321D" w:rsidRPr="00472703" w:rsidRDefault="0058321D" w:rsidP="00691B31">
            <w:pPr>
              <w:spacing w:beforeLines="60" w:afterLines="60"/>
              <w:rPr>
                <w:rFonts w:ascii="Verdana" w:hAnsi="Verdana" w:cs="Arial"/>
                <w:i/>
                <w:sz w:val="16"/>
                <w:szCs w:val="16"/>
              </w:rPr>
            </w:pPr>
            <w:r w:rsidRPr="00472703">
              <w:rPr>
                <w:rFonts w:ascii="Verdana" w:hAnsi="Verdana" w:cs="Arial"/>
                <w:i/>
                <w:sz w:val="16"/>
                <w:szCs w:val="16"/>
              </w:rPr>
              <w:t>Continue</w:t>
            </w:r>
          </w:p>
        </w:tc>
        <w:tc>
          <w:tcPr>
            <w:tcW w:w="4306" w:type="pct"/>
            <w:vMerge w:val="restart"/>
          </w:tcPr>
          <w:p w:rsidR="007F2C26" w:rsidRPr="00472703" w:rsidRDefault="00461C85" w:rsidP="00691B31">
            <w:pPr>
              <w:autoSpaceDE w:val="0"/>
              <w:autoSpaceDN w:val="0"/>
              <w:adjustRightInd w:val="0"/>
              <w:spacing w:beforeLines="60" w:afterLines="60"/>
              <w:ind w:left="360"/>
              <w:rPr>
                <w:rFonts w:ascii="Verdana" w:hAnsi="Verdana" w:cs="Arial"/>
                <w:sz w:val="20"/>
                <w:szCs w:val="20"/>
              </w:rPr>
            </w:pPr>
            <w:r w:rsidRPr="00461C85">
              <w:rPr>
                <w:rFonts w:ascii="Verdana" w:hAnsi="Verdana" w:cs="Arial"/>
                <w:b/>
                <w:sz w:val="20"/>
                <w:szCs w:val="20"/>
              </w:rPr>
              <w:t xml:space="preserve">Insurance Benefits Administration </w:t>
            </w:r>
            <w:r w:rsidR="00D35774" w:rsidRPr="00D35774">
              <w:rPr>
                <w:rFonts w:ascii="Verdana" w:hAnsi="Verdana" w:cs="Arial"/>
                <w:sz w:val="20"/>
                <w:szCs w:val="20"/>
              </w:rPr>
              <w:t xml:space="preserve">offers and manages a comprehensive package of health and welfare insurance benefits, including a variety of health insurance options, flexible spending and health savings accounts, life insurance, vision insurance, and dental insurance.  These benefits allow active and retired state employees and surviving spouses the option to choose pre-tax and post-tax benefit plans that best suit their individual needs.  Specific administrative functions </w:t>
            </w:r>
            <w:proofErr w:type="gramStart"/>
            <w:r w:rsidR="00D35774" w:rsidRPr="00D35774">
              <w:rPr>
                <w:rFonts w:ascii="Verdana" w:hAnsi="Verdana" w:cs="Arial"/>
                <w:sz w:val="20"/>
                <w:szCs w:val="20"/>
              </w:rPr>
              <w:t>include,</w:t>
            </w:r>
            <w:proofErr w:type="gramEnd"/>
            <w:r w:rsidR="00D35774" w:rsidRPr="00D35774">
              <w:rPr>
                <w:rFonts w:ascii="Verdana" w:hAnsi="Verdana" w:cs="Arial"/>
                <w:sz w:val="20"/>
                <w:szCs w:val="20"/>
              </w:rPr>
              <w:t xml:space="preserve"> client relations, benefit plan analysis, product development and procurement, contract management, compliance, fiscal control and management, and information technology support. </w:t>
            </w:r>
            <w:r w:rsidR="00D35774">
              <w:rPr>
                <w:rFonts w:ascii="Verdana" w:hAnsi="Verdana" w:cs="Arial"/>
                <w:sz w:val="20"/>
                <w:szCs w:val="20"/>
              </w:rPr>
              <w:t>DMS</w:t>
            </w:r>
            <w:r w:rsidRPr="00461C85">
              <w:rPr>
                <w:rFonts w:ascii="Verdana" w:hAnsi="Verdana" w:cs="Arial"/>
                <w:sz w:val="20"/>
                <w:szCs w:val="20"/>
              </w:rPr>
              <w:t xml:space="preserve"> oversees payment of $1.53 billion in health, life and disability benefits annually and contract procurement, contract management and fiscal management of the program.</w:t>
            </w:r>
          </w:p>
        </w:tc>
      </w:tr>
      <w:tr w:rsidR="0058321D" w:rsidRPr="009A10F2" w:rsidTr="0058321D">
        <w:trPr>
          <w:cantSplit/>
          <w:trHeight w:val="385"/>
        </w:trPr>
        <w:tc>
          <w:tcPr>
            <w:tcW w:w="314" w:type="pct"/>
          </w:tcPr>
          <w:p w:rsidR="0058321D" w:rsidRPr="009A10F2" w:rsidRDefault="0058321D" w:rsidP="00691B31">
            <w:pPr>
              <w:spacing w:beforeLines="60" w:afterLines="60"/>
              <w:jc w:val="center"/>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58321D" w:rsidRPr="009A10F2" w:rsidTr="0058321D">
        <w:trPr>
          <w:cantSplit/>
          <w:trHeight w:val="385"/>
        </w:trPr>
        <w:tc>
          <w:tcPr>
            <w:tcW w:w="314" w:type="pct"/>
          </w:tcPr>
          <w:p w:rsidR="0058321D" w:rsidRPr="009A10F2" w:rsidRDefault="0058321D" w:rsidP="00691B31">
            <w:pPr>
              <w:spacing w:beforeLines="60" w:afterLines="60"/>
              <w:rPr>
                <w:rFonts w:ascii="Verdana" w:hAnsi="Verdana" w:cs="Arial"/>
                <w:sz w:val="16"/>
                <w:szCs w:val="16"/>
              </w:rPr>
            </w:pPr>
          </w:p>
        </w:tc>
        <w:tc>
          <w:tcPr>
            <w:tcW w:w="380" w:type="pct"/>
          </w:tcPr>
          <w:p w:rsidR="0058321D" w:rsidRPr="009A10F2" w:rsidRDefault="0058321D"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691B31">
            <w:pPr>
              <w:autoSpaceDE w:val="0"/>
              <w:autoSpaceDN w:val="0"/>
              <w:adjustRightInd w:val="0"/>
              <w:spacing w:beforeLines="60" w:afterLines="60"/>
              <w:ind w:left="360"/>
              <w:rPr>
                <w:rFonts w:ascii="Verdana" w:hAnsi="Verdana" w:cs="Arial"/>
                <w:sz w:val="20"/>
                <w:szCs w:val="20"/>
              </w:rPr>
            </w:pPr>
          </w:p>
        </w:tc>
      </w:tr>
      <w:tr w:rsidR="00472703" w:rsidRPr="009A10F2" w:rsidTr="007F2C26">
        <w:trPr>
          <w:cantSplit/>
          <w:trHeight w:val="340"/>
        </w:trPr>
        <w:tc>
          <w:tcPr>
            <w:tcW w:w="314" w:type="pct"/>
          </w:tcPr>
          <w:p w:rsidR="00472703" w:rsidRPr="009A10F2" w:rsidRDefault="00472703" w:rsidP="00691B31">
            <w:pPr>
              <w:spacing w:beforeLines="60" w:afterLines="60"/>
              <w:jc w:val="center"/>
              <w:rPr>
                <w:rFonts w:ascii="Verdana" w:hAnsi="Verdana" w:cs="Arial"/>
                <w:sz w:val="16"/>
                <w:szCs w:val="16"/>
              </w:rPr>
            </w:pPr>
          </w:p>
        </w:tc>
        <w:tc>
          <w:tcPr>
            <w:tcW w:w="380" w:type="pct"/>
          </w:tcPr>
          <w:p w:rsidR="00472703" w:rsidRPr="009A10F2" w:rsidRDefault="00472703"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ED5A73" w:rsidRDefault="00461C85" w:rsidP="00691B31">
            <w:pPr>
              <w:autoSpaceDE w:val="0"/>
              <w:autoSpaceDN w:val="0"/>
              <w:adjustRightInd w:val="0"/>
              <w:spacing w:beforeLines="60" w:afterLines="60"/>
              <w:ind w:left="360"/>
              <w:rPr>
                <w:rFonts w:ascii="Verdana" w:hAnsi="Verdana" w:cs="Arial"/>
                <w:sz w:val="20"/>
                <w:szCs w:val="20"/>
              </w:rPr>
            </w:pPr>
            <w:r w:rsidRPr="00ED5A73">
              <w:rPr>
                <w:rFonts w:ascii="Verdana" w:hAnsi="Verdana" w:cs="Arial"/>
                <w:b/>
                <w:sz w:val="20"/>
                <w:szCs w:val="20"/>
              </w:rPr>
              <w:t>Retirement Benefits Administration</w:t>
            </w:r>
            <w:r w:rsidRPr="00ED5A73">
              <w:rPr>
                <w:rFonts w:ascii="Verdana" w:hAnsi="Verdana" w:cs="Arial"/>
                <w:sz w:val="20"/>
                <w:szCs w:val="20"/>
              </w:rPr>
              <w:t xml:space="preserve"> </w:t>
            </w:r>
            <w:r w:rsidR="00ED5A73" w:rsidRPr="00ED5A73">
              <w:rPr>
                <w:rFonts w:ascii="Verdana" w:hAnsi="Verdana" w:cs="Arial"/>
                <w:sz w:val="20"/>
                <w:szCs w:val="20"/>
              </w:rPr>
              <w:t>administers the state’s retirement system. Specifically, it administers the defined benefit programs of consolidated</w:t>
            </w:r>
            <w:r w:rsidR="008815A3">
              <w:rPr>
                <w:rFonts w:ascii="Verdana" w:hAnsi="Verdana" w:cs="Arial"/>
                <w:sz w:val="20"/>
                <w:szCs w:val="20"/>
              </w:rPr>
              <w:t xml:space="preserve"> Florida Retirement System (FRS)</w:t>
            </w:r>
            <w:r w:rsidR="00ED5A73" w:rsidRPr="00ED5A73">
              <w:rPr>
                <w:rFonts w:ascii="Verdana" w:hAnsi="Verdana" w:cs="Arial"/>
                <w:sz w:val="20"/>
                <w:szCs w:val="20"/>
              </w:rPr>
              <w:t xml:space="preserve">; the State University System Optional Retirement Program and Senior Management Service Optional Annuity Program; and the Institute of Food and Agricultural Sciences Retirement Act. It enrolls new members and agencies into the FRS, collects and accounts for contributions and payroll data, maintains records throughout each member's career and retirement, calculates retirement benefits, balances members' accounts, and maintains the monthly retired payroll, including paying benefits and processing different payroll deductions. </w:t>
            </w:r>
            <w:r w:rsidR="008815A3">
              <w:rPr>
                <w:rFonts w:ascii="Verdana" w:hAnsi="Verdana" w:cs="Arial"/>
                <w:sz w:val="20"/>
                <w:szCs w:val="20"/>
              </w:rPr>
              <w:t>DMS</w:t>
            </w:r>
            <w:r w:rsidR="008815A3" w:rsidRPr="00ED5A73">
              <w:rPr>
                <w:rFonts w:ascii="Verdana" w:hAnsi="Verdana" w:cs="Arial"/>
                <w:sz w:val="20"/>
                <w:szCs w:val="20"/>
              </w:rPr>
              <w:t xml:space="preserve"> also monitors operation of local public retirement systems and local police and fire pension funds. </w:t>
            </w:r>
            <w:r w:rsidR="00ED5A73" w:rsidRPr="00ED5A73">
              <w:rPr>
                <w:rFonts w:ascii="Verdana" w:hAnsi="Verdana" w:cs="Arial"/>
                <w:sz w:val="20"/>
                <w:szCs w:val="20"/>
              </w:rPr>
              <w:t xml:space="preserve">The FRS is funded by contributions paid by the employer, based on a percentage of the employees’ salaries. </w:t>
            </w:r>
            <w:r w:rsidR="008815A3" w:rsidRPr="00ED5A73">
              <w:rPr>
                <w:rFonts w:ascii="Verdana" w:hAnsi="Verdana" w:cs="Arial"/>
                <w:sz w:val="20"/>
                <w:szCs w:val="20"/>
              </w:rPr>
              <w:t>The rate of contributions required is determined by an actuarial consulting firm to assure compliance with the requirements of the State Constitution.</w:t>
            </w:r>
            <w:r w:rsidR="003F5BFF">
              <w:rPr>
                <w:rFonts w:ascii="Verdana" w:hAnsi="Verdana" w:cs="Arial"/>
                <w:sz w:val="20"/>
                <w:szCs w:val="20"/>
              </w:rPr>
              <w:t xml:space="preserve"> </w:t>
            </w:r>
            <w:r w:rsidRPr="00ED5A73">
              <w:rPr>
                <w:rFonts w:ascii="Verdana" w:hAnsi="Verdana" w:cs="Arial"/>
                <w:sz w:val="20"/>
                <w:szCs w:val="20"/>
              </w:rPr>
              <w:t xml:space="preserve">FRS Pension Plan investments are managed by the State Board of Administration. </w:t>
            </w:r>
          </w:p>
        </w:tc>
      </w:tr>
      <w:tr w:rsidR="00472703" w:rsidRPr="009A10F2" w:rsidTr="007F2C26">
        <w:trPr>
          <w:cantSplit/>
          <w:trHeight w:val="340"/>
        </w:trPr>
        <w:tc>
          <w:tcPr>
            <w:tcW w:w="314" w:type="pct"/>
          </w:tcPr>
          <w:p w:rsidR="00472703" w:rsidRPr="009A10F2" w:rsidRDefault="00472703" w:rsidP="00691B31">
            <w:pPr>
              <w:spacing w:beforeLines="60" w:afterLines="60"/>
              <w:jc w:val="center"/>
              <w:rPr>
                <w:rFonts w:ascii="Verdana" w:hAnsi="Verdana" w:cs="Arial"/>
                <w:sz w:val="16"/>
                <w:szCs w:val="16"/>
              </w:rPr>
            </w:pPr>
          </w:p>
        </w:tc>
        <w:tc>
          <w:tcPr>
            <w:tcW w:w="380" w:type="pct"/>
          </w:tcPr>
          <w:p w:rsidR="00472703" w:rsidRPr="009A10F2" w:rsidRDefault="00472703"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472703" w:rsidRPr="009A10F2" w:rsidRDefault="00472703" w:rsidP="00691B31">
            <w:pPr>
              <w:numPr>
                <w:ilvl w:val="0"/>
                <w:numId w:val="29"/>
              </w:numPr>
              <w:autoSpaceDE w:val="0"/>
              <w:autoSpaceDN w:val="0"/>
              <w:adjustRightInd w:val="0"/>
              <w:spacing w:beforeLines="60" w:afterLines="60"/>
              <w:rPr>
                <w:rFonts w:ascii="Verdana" w:hAnsi="Verdana" w:cs="Arial"/>
                <w:sz w:val="20"/>
                <w:szCs w:val="20"/>
              </w:rPr>
            </w:pPr>
          </w:p>
        </w:tc>
      </w:tr>
      <w:tr w:rsidR="00472703" w:rsidRPr="009A10F2" w:rsidTr="007F2C26">
        <w:trPr>
          <w:cantSplit/>
          <w:trHeight w:val="340"/>
        </w:trPr>
        <w:tc>
          <w:tcPr>
            <w:tcW w:w="314" w:type="pct"/>
          </w:tcPr>
          <w:p w:rsidR="00472703" w:rsidRPr="009A10F2" w:rsidRDefault="00472703" w:rsidP="00691B31">
            <w:pPr>
              <w:spacing w:beforeLines="60" w:afterLines="60"/>
              <w:rPr>
                <w:rFonts w:ascii="Verdana" w:hAnsi="Verdana" w:cs="Arial"/>
                <w:sz w:val="16"/>
                <w:szCs w:val="16"/>
              </w:rPr>
            </w:pPr>
          </w:p>
        </w:tc>
        <w:tc>
          <w:tcPr>
            <w:tcW w:w="380" w:type="pct"/>
          </w:tcPr>
          <w:p w:rsidR="00472703" w:rsidRPr="009A10F2" w:rsidRDefault="00472703"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472703" w:rsidRPr="009A10F2" w:rsidRDefault="00472703" w:rsidP="00691B31">
            <w:pPr>
              <w:numPr>
                <w:ilvl w:val="0"/>
                <w:numId w:val="29"/>
              </w:numPr>
              <w:autoSpaceDE w:val="0"/>
              <w:autoSpaceDN w:val="0"/>
              <w:adjustRightInd w:val="0"/>
              <w:spacing w:beforeLines="60" w:afterLines="60"/>
              <w:rPr>
                <w:rFonts w:ascii="Verdana" w:hAnsi="Verdana" w:cs="Arial"/>
                <w:sz w:val="20"/>
                <w:szCs w:val="20"/>
              </w:rPr>
            </w:pPr>
          </w:p>
        </w:tc>
      </w:tr>
      <w:tr w:rsidR="003E4710" w:rsidRPr="009A10F2" w:rsidTr="0058321D">
        <w:trPr>
          <w:cantSplit/>
        </w:trPr>
        <w:tc>
          <w:tcPr>
            <w:tcW w:w="5000" w:type="pct"/>
            <w:gridSpan w:val="3"/>
            <w:shd w:val="clear" w:color="auto" w:fill="CCCCCC"/>
          </w:tcPr>
          <w:p w:rsidR="003E4710" w:rsidRPr="00472703" w:rsidRDefault="008D4524" w:rsidP="00691B31">
            <w:pPr>
              <w:autoSpaceDE w:val="0"/>
              <w:autoSpaceDN w:val="0"/>
              <w:adjustRightInd w:val="0"/>
              <w:spacing w:beforeLines="60" w:afterLines="60"/>
              <w:ind w:left="360"/>
              <w:rPr>
                <w:rFonts w:ascii="Verdana" w:hAnsi="Verdana" w:cs="Arial"/>
                <w:b/>
                <w:sz w:val="20"/>
                <w:szCs w:val="20"/>
              </w:rPr>
            </w:pPr>
            <w:r w:rsidRPr="008D4524">
              <w:rPr>
                <w:rFonts w:ascii="Verdana" w:hAnsi="Verdana" w:cs="Arial"/>
                <w:b/>
                <w:sz w:val="20"/>
                <w:szCs w:val="20"/>
              </w:rPr>
              <w:t>Technology</w:t>
            </w:r>
            <w:r w:rsidR="0083188E">
              <w:rPr>
                <w:rFonts w:ascii="Verdana" w:hAnsi="Verdana" w:cs="Arial"/>
                <w:b/>
                <w:sz w:val="20"/>
                <w:szCs w:val="20"/>
              </w:rPr>
              <w:t xml:space="preserve"> </w:t>
            </w:r>
            <w:r w:rsidRPr="008D4524">
              <w:rPr>
                <w:rFonts w:ascii="Verdana" w:hAnsi="Verdana" w:cs="Arial"/>
                <w:b/>
                <w:sz w:val="20"/>
                <w:szCs w:val="20"/>
              </w:rPr>
              <w:t xml:space="preserve"> </w:t>
            </w:r>
            <w:r w:rsidR="0083188E" w:rsidRPr="0024589C">
              <w:rPr>
                <w:rFonts w:ascii="Verdana" w:hAnsi="Verdana" w:cs="Arial"/>
                <w:sz w:val="20"/>
                <w:szCs w:val="20"/>
              </w:rPr>
              <w:t>Appropriation:  $</w:t>
            </w:r>
            <w:r w:rsidR="0083188E">
              <w:rPr>
                <w:rFonts w:ascii="Verdana" w:hAnsi="Verdana" w:cs="Arial"/>
                <w:sz w:val="20"/>
                <w:szCs w:val="20"/>
              </w:rPr>
              <w:t>297.8</w:t>
            </w:r>
            <w:r w:rsidR="0083188E" w:rsidRPr="0024589C">
              <w:rPr>
                <w:rFonts w:ascii="Verdana" w:hAnsi="Verdana" w:cs="Arial"/>
                <w:sz w:val="20"/>
                <w:szCs w:val="20"/>
              </w:rPr>
              <w:t xml:space="preserve"> million, </w:t>
            </w:r>
            <w:r w:rsidR="0083188E">
              <w:rPr>
                <w:rFonts w:ascii="Verdana" w:hAnsi="Verdana" w:cs="Arial"/>
                <w:sz w:val="20"/>
                <w:szCs w:val="20"/>
              </w:rPr>
              <w:t>88</w:t>
            </w:r>
            <w:r w:rsidR="0083188E" w:rsidRPr="0024589C">
              <w:rPr>
                <w:rFonts w:ascii="Verdana" w:hAnsi="Verdana" w:cs="Arial"/>
                <w:sz w:val="20"/>
                <w:szCs w:val="20"/>
              </w:rPr>
              <w:t xml:space="preserve"> FTE</w:t>
            </w:r>
          </w:p>
        </w:tc>
      </w:tr>
      <w:tr w:rsidR="00684463" w:rsidRPr="009A10F2" w:rsidTr="0058321D">
        <w:trPr>
          <w:cantSplit/>
          <w:trHeight w:val="420"/>
        </w:trPr>
        <w:tc>
          <w:tcPr>
            <w:tcW w:w="314" w:type="pct"/>
          </w:tcPr>
          <w:p w:rsidR="00684463" w:rsidRPr="009A10F2" w:rsidRDefault="00684463" w:rsidP="00691B31">
            <w:pPr>
              <w:spacing w:beforeLines="60" w:afterLines="60"/>
              <w:jc w:val="center"/>
              <w:rPr>
                <w:rFonts w:ascii="Verdana" w:hAnsi="Verdana" w:cs="Arial"/>
                <w:sz w:val="16"/>
                <w:szCs w:val="16"/>
              </w:rPr>
            </w:pPr>
          </w:p>
        </w:tc>
        <w:tc>
          <w:tcPr>
            <w:tcW w:w="380" w:type="pct"/>
          </w:tcPr>
          <w:p w:rsidR="00684463" w:rsidRPr="009A10F2" w:rsidRDefault="00573F75"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1F2E3E" w:rsidRDefault="008D4524" w:rsidP="00691B31">
            <w:pPr>
              <w:autoSpaceDE w:val="0"/>
              <w:autoSpaceDN w:val="0"/>
              <w:adjustRightInd w:val="0"/>
              <w:spacing w:beforeLines="60" w:afterLines="60"/>
              <w:ind w:left="360"/>
              <w:rPr>
                <w:rFonts w:ascii="Verdana" w:hAnsi="Verdana" w:cs="Arial"/>
                <w:sz w:val="20"/>
                <w:szCs w:val="20"/>
              </w:rPr>
            </w:pPr>
            <w:r w:rsidRPr="001F2E3E">
              <w:rPr>
                <w:rFonts w:ascii="Verdana" w:hAnsi="Verdana" w:cs="Arial"/>
                <w:b/>
                <w:sz w:val="20"/>
                <w:szCs w:val="20"/>
              </w:rPr>
              <w:t xml:space="preserve">Telecommunications Services </w:t>
            </w:r>
            <w:r w:rsidRPr="001F2E3E">
              <w:rPr>
                <w:rFonts w:ascii="Verdana" w:hAnsi="Verdana" w:cs="Arial"/>
                <w:sz w:val="20"/>
                <w:szCs w:val="20"/>
              </w:rPr>
              <w:t xml:space="preserve">provides delivery of communication services (voice, data, video, image, and radio). It provides all methods of communications signals, including voice, data, video, image, and radio services to state agencies, political subdivisions of the state, municipalities, state universities, and nonprofit corporations. It designs, </w:t>
            </w:r>
            <w:r w:rsidRPr="001F2E3E">
              <w:rPr>
                <w:rFonts w:ascii="Verdana" w:hAnsi="Verdana" w:cs="Arial"/>
                <w:sz w:val="20"/>
                <w:szCs w:val="20"/>
              </w:rPr>
              <w:lastRenderedPageBreak/>
              <w:t>engineers, implements, manages, and operates the facilities and equipment providing SUNCOM Network services.  Additionally</w:t>
            </w:r>
            <w:r w:rsidR="00A17806" w:rsidRPr="001F2E3E">
              <w:rPr>
                <w:rFonts w:ascii="Verdana" w:hAnsi="Verdana" w:cs="Arial"/>
                <w:sz w:val="20"/>
                <w:szCs w:val="20"/>
              </w:rPr>
              <w:t>, the</w:t>
            </w:r>
            <w:r w:rsidRPr="001F2E3E">
              <w:rPr>
                <w:rFonts w:ascii="Verdana" w:hAnsi="Verdana" w:cs="Arial"/>
                <w:sz w:val="20"/>
                <w:szCs w:val="20"/>
              </w:rPr>
              <w:t xml:space="preserve"> department has authority to develop, maintain, and approve regional law enforcement communications systems.</w:t>
            </w:r>
          </w:p>
        </w:tc>
      </w:tr>
      <w:tr w:rsidR="00684463" w:rsidRPr="009A10F2" w:rsidTr="0058321D">
        <w:trPr>
          <w:cantSplit/>
          <w:trHeight w:val="420"/>
        </w:trPr>
        <w:tc>
          <w:tcPr>
            <w:tcW w:w="314" w:type="pct"/>
          </w:tcPr>
          <w:p w:rsidR="00684463" w:rsidRPr="009A10F2" w:rsidRDefault="00684463" w:rsidP="00691B31">
            <w:pPr>
              <w:spacing w:beforeLines="60" w:afterLines="60"/>
              <w:rPr>
                <w:rFonts w:ascii="Verdana" w:hAnsi="Verdana" w:cs="Arial"/>
                <w:sz w:val="16"/>
                <w:szCs w:val="16"/>
              </w:rPr>
            </w:pPr>
          </w:p>
        </w:tc>
        <w:tc>
          <w:tcPr>
            <w:tcW w:w="380" w:type="pct"/>
          </w:tcPr>
          <w:p w:rsidR="00684463" w:rsidRPr="009A10F2" w:rsidRDefault="00573F75"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84463" w:rsidRPr="001F2E3E" w:rsidRDefault="00684463" w:rsidP="00691B31">
            <w:pPr>
              <w:autoSpaceDE w:val="0"/>
              <w:autoSpaceDN w:val="0"/>
              <w:adjustRightInd w:val="0"/>
              <w:spacing w:beforeLines="60" w:afterLines="60"/>
              <w:ind w:left="360"/>
              <w:rPr>
                <w:rFonts w:ascii="Verdana" w:hAnsi="Verdana" w:cs="Arial"/>
                <w:sz w:val="20"/>
                <w:szCs w:val="20"/>
              </w:rPr>
            </w:pPr>
          </w:p>
        </w:tc>
      </w:tr>
      <w:tr w:rsidR="00684463" w:rsidRPr="009A10F2" w:rsidTr="0058321D">
        <w:trPr>
          <w:cantSplit/>
          <w:trHeight w:val="420"/>
        </w:trPr>
        <w:tc>
          <w:tcPr>
            <w:tcW w:w="314" w:type="pct"/>
          </w:tcPr>
          <w:p w:rsidR="00684463" w:rsidRPr="009A10F2" w:rsidRDefault="00684463" w:rsidP="00691B31">
            <w:pPr>
              <w:spacing w:beforeLines="60" w:afterLines="60"/>
              <w:rPr>
                <w:rFonts w:ascii="Verdana" w:hAnsi="Verdana" w:cs="Arial"/>
                <w:sz w:val="16"/>
                <w:szCs w:val="16"/>
              </w:rPr>
            </w:pPr>
          </w:p>
        </w:tc>
        <w:tc>
          <w:tcPr>
            <w:tcW w:w="380" w:type="pct"/>
          </w:tcPr>
          <w:p w:rsidR="00684463" w:rsidRPr="009A10F2" w:rsidRDefault="00573F75"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84463" w:rsidRPr="001F2E3E" w:rsidRDefault="00684463" w:rsidP="00691B31">
            <w:pPr>
              <w:autoSpaceDE w:val="0"/>
              <w:autoSpaceDN w:val="0"/>
              <w:adjustRightInd w:val="0"/>
              <w:spacing w:beforeLines="60" w:afterLines="60"/>
              <w:ind w:left="360"/>
              <w:rPr>
                <w:rFonts w:ascii="Verdana" w:hAnsi="Verdana" w:cs="Arial"/>
                <w:sz w:val="20"/>
                <w:szCs w:val="20"/>
              </w:rPr>
            </w:pPr>
          </w:p>
        </w:tc>
      </w:tr>
      <w:tr w:rsidR="00123BBC" w:rsidRPr="009A10F2" w:rsidTr="0058321D">
        <w:trPr>
          <w:cantSplit/>
          <w:trHeight w:val="340"/>
        </w:trPr>
        <w:tc>
          <w:tcPr>
            <w:tcW w:w="314" w:type="pct"/>
          </w:tcPr>
          <w:p w:rsidR="00123BBC" w:rsidRPr="009A10F2" w:rsidRDefault="00123BBC" w:rsidP="00691B31">
            <w:pPr>
              <w:spacing w:beforeLines="60" w:afterLines="60"/>
              <w:jc w:val="center"/>
              <w:rPr>
                <w:rFonts w:ascii="Verdana" w:hAnsi="Verdana" w:cs="Arial"/>
                <w:sz w:val="16"/>
                <w:szCs w:val="16"/>
              </w:rPr>
            </w:pPr>
          </w:p>
        </w:tc>
        <w:tc>
          <w:tcPr>
            <w:tcW w:w="380" w:type="pct"/>
          </w:tcPr>
          <w:p w:rsidR="00123BBC" w:rsidRPr="009A10F2" w:rsidRDefault="00123BBC" w:rsidP="00691B31">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7F2C26" w:rsidRPr="001F2E3E" w:rsidRDefault="008D4524" w:rsidP="00691B31">
            <w:pPr>
              <w:autoSpaceDE w:val="0"/>
              <w:autoSpaceDN w:val="0"/>
              <w:adjustRightInd w:val="0"/>
              <w:spacing w:beforeLines="60" w:afterLines="60"/>
              <w:ind w:left="360"/>
              <w:rPr>
                <w:rFonts w:ascii="Verdana" w:hAnsi="Verdana" w:cs="Arial"/>
                <w:sz w:val="20"/>
                <w:szCs w:val="20"/>
              </w:rPr>
            </w:pPr>
            <w:r w:rsidRPr="001F2E3E">
              <w:rPr>
                <w:rFonts w:ascii="Verdana" w:hAnsi="Verdana" w:cs="Arial"/>
                <w:b/>
                <w:bCs/>
                <w:sz w:val="20"/>
                <w:szCs w:val="20"/>
              </w:rPr>
              <w:t xml:space="preserve">Wireless Services </w:t>
            </w:r>
            <w:r w:rsidRPr="001F2E3E">
              <w:rPr>
                <w:rFonts w:ascii="Verdana" w:hAnsi="Verdana" w:cs="Arial"/>
                <w:sz w:val="20"/>
                <w:szCs w:val="20"/>
              </w:rPr>
              <w:t>includes funding for all radio services, such as Local Public Safety Radio Services, State Public Safety Radio Services, and Emergency Medical Services and the Florida Interoperability Network (FIN).</w:t>
            </w:r>
          </w:p>
        </w:tc>
      </w:tr>
      <w:tr w:rsidR="00123BBC" w:rsidRPr="009A10F2" w:rsidTr="0058321D">
        <w:trPr>
          <w:cantSplit/>
          <w:trHeight w:val="340"/>
        </w:trPr>
        <w:tc>
          <w:tcPr>
            <w:tcW w:w="314" w:type="pct"/>
          </w:tcPr>
          <w:p w:rsidR="00123BBC" w:rsidRPr="009A10F2" w:rsidRDefault="00123BBC" w:rsidP="00691B31">
            <w:pPr>
              <w:spacing w:beforeLines="60" w:afterLines="60"/>
              <w:rPr>
                <w:rFonts w:ascii="Verdana" w:hAnsi="Verdana" w:cs="Arial"/>
                <w:sz w:val="16"/>
                <w:szCs w:val="16"/>
              </w:rPr>
            </w:pPr>
          </w:p>
        </w:tc>
        <w:tc>
          <w:tcPr>
            <w:tcW w:w="380" w:type="pct"/>
          </w:tcPr>
          <w:p w:rsidR="00123BBC" w:rsidRPr="009A10F2" w:rsidRDefault="00123BBC" w:rsidP="00691B31">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123BBC" w:rsidRPr="009A10F2" w:rsidRDefault="00123BBC" w:rsidP="00691B31">
            <w:pPr>
              <w:autoSpaceDE w:val="0"/>
              <w:autoSpaceDN w:val="0"/>
              <w:adjustRightInd w:val="0"/>
              <w:spacing w:beforeLines="60" w:afterLines="60"/>
              <w:ind w:left="360"/>
              <w:rPr>
                <w:rFonts w:ascii="Verdana" w:hAnsi="Verdana" w:cs="Arial"/>
                <w:sz w:val="20"/>
                <w:szCs w:val="20"/>
              </w:rPr>
            </w:pPr>
          </w:p>
        </w:tc>
      </w:tr>
      <w:tr w:rsidR="00123BBC" w:rsidRPr="009A10F2" w:rsidTr="0058321D">
        <w:trPr>
          <w:cantSplit/>
          <w:trHeight w:val="340"/>
        </w:trPr>
        <w:tc>
          <w:tcPr>
            <w:tcW w:w="314" w:type="pct"/>
          </w:tcPr>
          <w:p w:rsidR="00123BBC" w:rsidRPr="009A10F2" w:rsidRDefault="00123BBC" w:rsidP="00691B31">
            <w:pPr>
              <w:spacing w:beforeLines="60" w:afterLines="60"/>
              <w:rPr>
                <w:rFonts w:ascii="Verdana" w:hAnsi="Verdana" w:cs="Arial"/>
                <w:sz w:val="16"/>
                <w:szCs w:val="16"/>
              </w:rPr>
            </w:pPr>
          </w:p>
        </w:tc>
        <w:tc>
          <w:tcPr>
            <w:tcW w:w="380" w:type="pct"/>
          </w:tcPr>
          <w:p w:rsidR="00123BBC" w:rsidRPr="009A10F2" w:rsidRDefault="00123BBC" w:rsidP="00691B31">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123BBC" w:rsidRPr="009A10F2" w:rsidRDefault="00123BBC" w:rsidP="00691B31">
            <w:pPr>
              <w:autoSpaceDE w:val="0"/>
              <w:autoSpaceDN w:val="0"/>
              <w:adjustRightInd w:val="0"/>
              <w:spacing w:beforeLines="60" w:afterLines="60"/>
              <w:ind w:left="360"/>
              <w:rPr>
                <w:rFonts w:ascii="Verdana" w:hAnsi="Verdana" w:cs="Arial"/>
                <w:sz w:val="20"/>
                <w:szCs w:val="20"/>
              </w:rPr>
            </w:pPr>
          </w:p>
        </w:tc>
      </w:tr>
    </w:tbl>
    <w:p w:rsidR="00E30E0E" w:rsidRDefault="00E30E0E"/>
    <w:p w:rsidR="0055123C" w:rsidRPr="00FA7BE8" w:rsidRDefault="0058321D" w:rsidP="005741B9">
      <w:r>
        <w:t xml:space="preserve"> </w:t>
      </w:r>
    </w:p>
    <w:sectPr w:rsidR="0055123C" w:rsidRPr="00FA7BE8" w:rsidSect="00E30E0E">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3E" w:rsidRDefault="001F2E3E" w:rsidP="002B6B66">
      <w:r>
        <w:separator/>
      </w:r>
    </w:p>
  </w:endnote>
  <w:endnote w:type="continuationSeparator" w:id="0">
    <w:p w:rsidR="001F2E3E" w:rsidRDefault="001F2E3E" w:rsidP="002B6B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empelGaramond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ZapfCalligraphic801B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65524"/>
      <w:docPartObj>
        <w:docPartGallery w:val="Page Numbers (Bottom of Page)"/>
        <w:docPartUnique/>
      </w:docPartObj>
    </w:sdtPr>
    <w:sdtContent>
      <w:p w:rsidR="001F2E3E" w:rsidRDefault="001F2E3E">
        <w:pPr>
          <w:pStyle w:val="Footer"/>
          <w:jc w:val="center"/>
        </w:pPr>
        <w:fldSimple w:instr=" PAGE   \* MERGEFORMAT ">
          <w:r w:rsidR="00657C81">
            <w:rPr>
              <w:noProof/>
            </w:rPr>
            <w:t>5</w:t>
          </w:r>
        </w:fldSimple>
      </w:p>
    </w:sdtContent>
  </w:sdt>
  <w:p w:rsidR="001F2E3E" w:rsidRDefault="001F2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3E" w:rsidRDefault="001F2E3E" w:rsidP="002B6B66">
      <w:r>
        <w:separator/>
      </w:r>
    </w:p>
  </w:footnote>
  <w:footnote w:type="continuationSeparator" w:id="0">
    <w:p w:rsidR="001F2E3E" w:rsidRDefault="001F2E3E" w:rsidP="002B6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nsid w:val="015671E4"/>
    <w:multiLevelType w:val="hybridMultilevel"/>
    <w:tmpl w:val="05BA127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D36F86"/>
    <w:multiLevelType w:val="multilevel"/>
    <w:tmpl w:val="98AA3B8E"/>
    <w:lvl w:ilvl="0">
      <w:start w:val="1"/>
      <w:numFmt w:val="bullet"/>
      <w:lvlText w:val=""/>
      <w:lvlJc w:val="left"/>
      <w:pPr>
        <w:tabs>
          <w:tab w:val="num" w:pos="72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9F6487"/>
    <w:multiLevelType w:val="hybridMultilevel"/>
    <w:tmpl w:val="7E9A789A"/>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D610DE"/>
    <w:multiLevelType w:val="hybridMultilevel"/>
    <w:tmpl w:val="85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C1A5B"/>
    <w:multiLevelType w:val="multilevel"/>
    <w:tmpl w:val="915CF7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51A99"/>
    <w:multiLevelType w:val="hybridMultilevel"/>
    <w:tmpl w:val="20DCD87E"/>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37BAF"/>
    <w:multiLevelType w:val="hybridMultilevel"/>
    <w:tmpl w:val="94003F36"/>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F230B5"/>
    <w:multiLevelType w:val="hybridMultilevel"/>
    <w:tmpl w:val="8A5C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76FFE"/>
    <w:multiLevelType w:val="hybridMultilevel"/>
    <w:tmpl w:val="463E08FE"/>
    <w:lvl w:ilvl="0" w:tplc="19900BE2">
      <w:start w:val="1"/>
      <w:numFmt w:val="bullet"/>
      <w:lvlText w:val="?"/>
      <w:lvlJc w:val="left"/>
      <w:pPr>
        <w:tabs>
          <w:tab w:val="num" w:pos="720"/>
        </w:tabs>
        <w:ind w:left="720" w:hanging="720"/>
      </w:pPr>
      <w:rPr>
        <w:rFonts w:ascii="StempelGaramond Roman" w:hAnsi="StempelGaramond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687BA8"/>
    <w:multiLevelType w:val="multilevel"/>
    <w:tmpl w:val="64184D74"/>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76311E4"/>
    <w:multiLevelType w:val="hybridMultilevel"/>
    <w:tmpl w:val="666CB35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3E0546"/>
    <w:multiLevelType w:val="hybridMultilevel"/>
    <w:tmpl w:val="39689CE8"/>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7E70D6"/>
    <w:multiLevelType w:val="hybridMultilevel"/>
    <w:tmpl w:val="1E2AB1F8"/>
    <w:lvl w:ilvl="0" w:tplc="B44A17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865594"/>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43C10319"/>
    <w:multiLevelType w:val="hybridMultilevel"/>
    <w:tmpl w:val="28E65F1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1E7F71"/>
    <w:multiLevelType w:val="hybridMultilevel"/>
    <w:tmpl w:val="BB426E40"/>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4A2F3A0A"/>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4B52594C"/>
    <w:multiLevelType w:val="hybridMultilevel"/>
    <w:tmpl w:val="763A2EB8"/>
    <w:lvl w:ilvl="0" w:tplc="38323E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453311"/>
    <w:multiLevelType w:val="hybridMultilevel"/>
    <w:tmpl w:val="7DF46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7155B3"/>
    <w:multiLevelType w:val="multilevel"/>
    <w:tmpl w:val="94003F36"/>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E6673E8"/>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05F0AED"/>
    <w:multiLevelType w:val="hybridMultilevel"/>
    <w:tmpl w:val="C6649510"/>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910463"/>
    <w:multiLevelType w:val="hybridMultilevel"/>
    <w:tmpl w:val="F85EFB38"/>
    <w:lvl w:ilvl="0" w:tplc="E794CC7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5C3E7C44"/>
    <w:multiLevelType w:val="multilevel"/>
    <w:tmpl w:val="2258E706"/>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4">
    <w:nsid w:val="605E4A33"/>
    <w:multiLevelType w:val="hybridMultilevel"/>
    <w:tmpl w:val="3D9ABA9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648349BB"/>
    <w:multiLevelType w:val="hybridMultilevel"/>
    <w:tmpl w:val="98AA3B8E"/>
    <w:lvl w:ilvl="0" w:tplc="18C0D60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76364B"/>
    <w:multiLevelType w:val="hybridMultilevel"/>
    <w:tmpl w:val="2258E706"/>
    <w:lvl w:ilvl="0" w:tplc="758ACEE6">
      <w:start w:val="1"/>
      <w:numFmt w:val="bullet"/>
      <w:lvlText w:val=""/>
      <w:lvlJc w:val="left"/>
      <w:pPr>
        <w:tabs>
          <w:tab w:val="num" w:pos="720"/>
        </w:tabs>
        <w:ind w:left="720" w:hanging="720"/>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5E55BBF"/>
    <w:multiLevelType w:val="hybridMultilevel"/>
    <w:tmpl w:val="5BCE3FE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60365C"/>
    <w:multiLevelType w:val="multilevel"/>
    <w:tmpl w:val="1E2AB1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B2F2F24"/>
    <w:multiLevelType w:val="hybridMultilevel"/>
    <w:tmpl w:val="647C77F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1F3833"/>
    <w:multiLevelType w:val="hybridMultilevel"/>
    <w:tmpl w:val="64184D7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D32858"/>
    <w:multiLevelType w:val="hybridMultilevel"/>
    <w:tmpl w:val="C1264D32"/>
    <w:lvl w:ilvl="0" w:tplc="22FEF2B4">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2">
    <w:nsid w:val="73FC5042"/>
    <w:multiLevelType w:val="hybridMultilevel"/>
    <w:tmpl w:val="B8ECBB66"/>
    <w:lvl w:ilvl="0" w:tplc="EF6C8A9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D062E3"/>
    <w:multiLevelType w:val="multilevel"/>
    <w:tmpl w:val="33D4A558"/>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6"/>
  </w:num>
  <w:num w:numId="4">
    <w:abstractNumId w:val="31"/>
  </w:num>
  <w:num w:numId="5">
    <w:abstractNumId w:val="23"/>
  </w:num>
  <w:num w:numId="6">
    <w:abstractNumId w:val="0"/>
  </w:num>
  <w:num w:numId="7">
    <w:abstractNumId w:val="5"/>
  </w:num>
  <w:num w:numId="8">
    <w:abstractNumId w:val="25"/>
  </w:num>
  <w:num w:numId="9">
    <w:abstractNumId w:val="1"/>
  </w:num>
  <w:num w:numId="10">
    <w:abstractNumId w:val="12"/>
  </w:num>
  <w:num w:numId="11">
    <w:abstractNumId w:val="20"/>
  </w:num>
  <w:num w:numId="12">
    <w:abstractNumId w:val="22"/>
  </w:num>
  <w:num w:numId="13">
    <w:abstractNumId w:val="28"/>
  </w:num>
  <w:num w:numId="14">
    <w:abstractNumId w:val="10"/>
  </w:num>
  <w:num w:numId="15">
    <w:abstractNumId w:val="33"/>
  </w:num>
  <w:num w:numId="16">
    <w:abstractNumId w:val="30"/>
  </w:num>
  <w:num w:numId="17">
    <w:abstractNumId w:val="13"/>
  </w:num>
  <w:num w:numId="18">
    <w:abstractNumId w:val="24"/>
  </w:num>
  <w:num w:numId="19">
    <w:abstractNumId w:val="16"/>
  </w:num>
  <w:num w:numId="20">
    <w:abstractNumId w:val="15"/>
  </w:num>
  <w:num w:numId="21">
    <w:abstractNumId w:val="9"/>
  </w:num>
  <w:num w:numId="22">
    <w:abstractNumId w:val="6"/>
  </w:num>
  <w:num w:numId="23">
    <w:abstractNumId w:val="19"/>
  </w:num>
  <w:num w:numId="24">
    <w:abstractNumId w:val="29"/>
  </w:num>
  <w:num w:numId="25">
    <w:abstractNumId w:val="11"/>
  </w:num>
  <w:num w:numId="26">
    <w:abstractNumId w:val="2"/>
  </w:num>
  <w:num w:numId="27">
    <w:abstractNumId w:val="21"/>
  </w:num>
  <w:num w:numId="28">
    <w:abstractNumId w:val="32"/>
  </w:num>
  <w:num w:numId="29">
    <w:abstractNumId w:val="27"/>
  </w:num>
  <w:num w:numId="30">
    <w:abstractNumId w:val="14"/>
  </w:num>
  <w:num w:numId="31">
    <w:abstractNumId w:val="17"/>
  </w:num>
  <w:num w:numId="32">
    <w:abstractNumId w:val="18"/>
  </w:num>
  <w:num w:numId="33">
    <w:abstractNumId w:val="7"/>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457B3"/>
    <w:rsid w:val="00004415"/>
    <w:rsid w:val="000530F9"/>
    <w:rsid w:val="00080637"/>
    <w:rsid w:val="0008472F"/>
    <w:rsid w:val="000B362F"/>
    <w:rsid w:val="000E62D1"/>
    <w:rsid w:val="001028C3"/>
    <w:rsid w:val="00123BBC"/>
    <w:rsid w:val="00124DC8"/>
    <w:rsid w:val="00147497"/>
    <w:rsid w:val="00153D90"/>
    <w:rsid w:val="001553D9"/>
    <w:rsid w:val="00167528"/>
    <w:rsid w:val="00186048"/>
    <w:rsid w:val="001B1EF0"/>
    <w:rsid w:val="001C23EB"/>
    <w:rsid w:val="001E2BEA"/>
    <w:rsid w:val="001F203E"/>
    <w:rsid w:val="001F2E3E"/>
    <w:rsid w:val="00220CE6"/>
    <w:rsid w:val="00222BA8"/>
    <w:rsid w:val="002424C8"/>
    <w:rsid w:val="00272D1A"/>
    <w:rsid w:val="00276DFA"/>
    <w:rsid w:val="00285E04"/>
    <w:rsid w:val="002A1839"/>
    <w:rsid w:val="002A3305"/>
    <w:rsid w:val="002A52A8"/>
    <w:rsid w:val="002A7E47"/>
    <w:rsid w:val="002B6B66"/>
    <w:rsid w:val="002C1308"/>
    <w:rsid w:val="002C7B30"/>
    <w:rsid w:val="002E3782"/>
    <w:rsid w:val="002E6530"/>
    <w:rsid w:val="002F5C65"/>
    <w:rsid w:val="00307368"/>
    <w:rsid w:val="00327E9B"/>
    <w:rsid w:val="00377FCA"/>
    <w:rsid w:val="00386ED9"/>
    <w:rsid w:val="00393A44"/>
    <w:rsid w:val="003A31E0"/>
    <w:rsid w:val="003C3649"/>
    <w:rsid w:val="003E34ED"/>
    <w:rsid w:val="003E4710"/>
    <w:rsid w:val="003F05D9"/>
    <w:rsid w:val="003F5BFF"/>
    <w:rsid w:val="004511C4"/>
    <w:rsid w:val="00455F67"/>
    <w:rsid w:val="00461C85"/>
    <w:rsid w:val="0046330A"/>
    <w:rsid w:val="00472703"/>
    <w:rsid w:val="004B13C5"/>
    <w:rsid w:val="004C23B7"/>
    <w:rsid w:val="004D2AF9"/>
    <w:rsid w:val="004D3BEB"/>
    <w:rsid w:val="004D4C38"/>
    <w:rsid w:val="004F191C"/>
    <w:rsid w:val="00522A72"/>
    <w:rsid w:val="00531B48"/>
    <w:rsid w:val="0055123C"/>
    <w:rsid w:val="00573F75"/>
    <w:rsid w:val="005741B9"/>
    <w:rsid w:val="00575FB1"/>
    <w:rsid w:val="0058321D"/>
    <w:rsid w:val="0059092A"/>
    <w:rsid w:val="00591E61"/>
    <w:rsid w:val="005A1B59"/>
    <w:rsid w:val="005A461A"/>
    <w:rsid w:val="005D1EEA"/>
    <w:rsid w:val="005D396B"/>
    <w:rsid w:val="005E5A2C"/>
    <w:rsid w:val="005F6102"/>
    <w:rsid w:val="006131B8"/>
    <w:rsid w:val="006179C0"/>
    <w:rsid w:val="00627095"/>
    <w:rsid w:val="00657C81"/>
    <w:rsid w:val="0066005C"/>
    <w:rsid w:val="00660E20"/>
    <w:rsid w:val="00684463"/>
    <w:rsid w:val="006911E0"/>
    <w:rsid w:val="00691B31"/>
    <w:rsid w:val="006B1963"/>
    <w:rsid w:val="006C0BD2"/>
    <w:rsid w:val="006C60E2"/>
    <w:rsid w:val="006D1BAE"/>
    <w:rsid w:val="00725C84"/>
    <w:rsid w:val="007354EA"/>
    <w:rsid w:val="00736D92"/>
    <w:rsid w:val="00794EFB"/>
    <w:rsid w:val="00795315"/>
    <w:rsid w:val="007A2AC7"/>
    <w:rsid w:val="007B05A5"/>
    <w:rsid w:val="007C6906"/>
    <w:rsid w:val="007D2BC1"/>
    <w:rsid w:val="007E5B66"/>
    <w:rsid w:val="007F2C26"/>
    <w:rsid w:val="007F74DC"/>
    <w:rsid w:val="008225A3"/>
    <w:rsid w:val="0082687C"/>
    <w:rsid w:val="0083156C"/>
    <w:rsid w:val="0083188E"/>
    <w:rsid w:val="00832880"/>
    <w:rsid w:val="00833A17"/>
    <w:rsid w:val="00845B3A"/>
    <w:rsid w:val="008740F5"/>
    <w:rsid w:val="00874CAE"/>
    <w:rsid w:val="008815A3"/>
    <w:rsid w:val="00887877"/>
    <w:rsid w:val="0089275A"/>
    <w:rsid w:val="008B0ED4"/>
    <w:rsid w:val="008B320D"/>
    <w:rsid w:val="008C64FE"/>
    <w:rsid w:val="008D4524"/>
    <w:rsid w:val="008F67CD"/>
    <w:rsid w:val="00904EDB"/>
    <w:rsid w:val="00920D82"/>
    <w:rsid w:val="00940AE5"/>
    <w:rsid w:val="00951B61"/>
    <w:rsid w:val="00965549"/>
    <w:rsid w:val="0096734F"/>
    <w:rsid w:val="009A10F2"/>
    <w:rsid w:val="009B44F2"/>
    <w:rsid w:val="009B5267"/>
    <w:rsid w:val="009C3E41"/>
    <w:rsid w:val="009E4D98"/>
    <w:rsid w:val="00A17806"/>
    <w:rsid w:val="00A32913"/>
    <w:rsid w:val="00A63293"/>
    <w:rsid w:val="00A7421A"/>
    <w:rsid w:val="00A80680"/>
    <w:rsid w:val="00A9728C"/>
    <w:rsid w:val="00AC1E59"/>
    <w:rsid w:val="00B11751"/>
    <w:rsid w:val="00B136A7"/>
    <w:rsid w:val="00B17D6C"/>
    <w:rsid w:val="00B96C8F"/>
    <w:rsid w:val="00BA1BF1"/>
    <w:rsid w:val="00BA38D1"/>
    <w:rsid w:val="00C06A20"/>
    <w:rsid w:val="00C10067"/>
    <w:rsid w:val="00C112A2"/>
    <w:rsid w:val="00C14A45"/>
    <w:rsid w:val="00C31458"/>
    <w:rsid w:val="00C33692"/>
    <w:rsid w:val="00C34C7A"/>
    <w:rsid w:val="00C53240"/>
    <w:rsid w:val="00C73F73"/>
    <w:rsid w:val="00C818F0"/>
    <w:rsid w:val="00C83B11"/>
    <w:rsid w:val="00C86EEE"/>
    <w:rsid w:val="00C93DD1"/>
    <w:rsid w:val="00C96BE8"/>
    <w:rsid w:val="00CA77EA"/>
    <w:rsid w:val="00CB01FE"/>
    <w:rsid w:val="00CB32EC"/>
    <w:rsid w:val="00CD5D2B"/>
    <w:rsid w:val="00CE0E9F"/>
    <w:rsid w:val="00CE5C26"/>
    <w:rsid w:val="00D07A88"/>
    <w:rsid w:val="00D11AB3"/>
    <w:rsid w:val="00D12FB6"/>
    <w:rsid w:val="00D135BF"/>
    <w:rsid w:val="00D16830"/>
    <w:rsid w:val="00D25954"/>
    <w:rsid w:val="00D27FE4"/>
    <w:rsid w:val="00D35774"/>
    <w:rsid w:val="00D54298"/>
    <w:rsid w:val="00D55046"/>
    <w:rsid w:val="00D70C20"/>
    <w:rsid w:val="00D8006D"/>
    <w:rsid w:val="00D87997"/>
    <w:rsid w:val="00DA7F34"/>
    <w:rsid w:val="00DC03C3"/>
    <w:rsid w:val="00DD69A2"/>
    <w:rsid w:val="00DE6789"/>
    <w:rsid w:val="00E1368F"/>
    <w:rsid w:val="00E17995"/>
    <w:rsid w:val="00E30E0E"/>
    <w:rsid w:val="00E72064"/>
    <w:rsid w:val="00E743BE"/>
    <w:rsid w:val="00E767AE"/>
    <w:rsid w:val="00E92104"/>
    <w:rsid w:val="00EA2308"/>
    <w:rsid w:val="00EA7D0E"/>
    <w:rsid w:val="00ED4EF0"/>
    <w:rsid w:val="00ED5A73"/>
    <w:rsid w:val="00EF1A7C"/>
    <w:rsid w:val="00EF4E23"/>
    <w:rsid w:val="00F37A2D"/>
    <w:rsid w:val="00F457B3"/>
    <w:rsid w:val="00F575B5"/>
    <w:rsid w:val="00F60D88"/>
    <w:rsid w:val="00F62AB9"/>
    <w:rsid w:val="00F93343"/>
    <w:rsid w:val="00FA7BE8"/>
    <w:rsid w:val="00FB3751"/>
    <w:rsid w:val="00FC6066"/>
    <w:rsid w:val="00FE3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B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5B3A"/>
    <w:rPr>
      <w:rFonts w:ascii="Tahoma" w:hAnsi="Tahoma" w:cs="Tahoma"/>
      <w:sz w:val="16"/>
      <w:szCs w:val="16"/>
    </w:rPr>
  </w:style>
  <w:style w:type="character" w:styleId="Hyperlink">
    <w:name w:val="Hyperlink"/>
    <w:basedOn w:val="DefaultParagraphFont"/>
    <w:rsid w:val="001C23EB"/>
    <w:rPr>
      <w:b w:val="0"/>
      <w:bCs w:val="0"/>
      <w:color w:val="000066"/>
      <w:u w:val="single"/>
    </w:rPr>
  </w:style>
  <w:style w:type="paragraph" w:styleId="NormalWeb">
    <w:name w:val="Normal (Web)"/>
    <w:basedOn w:val="Normal"/>
    <w:uiPriority w:val="99"/>
    <w:rsid w:val="001C23EB"/>
    <w:pPr>
      <w:spacing w:before="100" w:beforeAutospacing="1" w:after="100" w:afterAutospacing="1"/>
    </w:pPr>
  </w:style>
  <w:style w:type="character" w:styleId="Strong">
    <w:name w:val="Strong"/>
    <w:basedOn w:val="DefaultParagraphFont"/>
    <w:qFormat/>
    <w:rsid w:val="001C23EB"/>
    <w:rPr>
      <w:b/>
      <w:bCs/>
    </w:rPr>
  </w:style>
  <w:style w:type="paragraph" w:styleId="Header">
    <w:name w:val="header"/>
    <w:basedOn w:val="Normal"/>
    <w:link w:val="HeaderChar"/>
    <w:rsid w:val="002B6B66"/>
    <w:pPr>
      <w:tabs>
        <w:tab w:val="center" w:pos="4680"/>
        <w:tab w:val="right" w:pos="9360"/>
      </w:tabs>
    </w:pPr>
  </w:style>
  <w:style w:type="character" w:customStyle="1" w:styleId="HeaderChar">
    <w:name w:val="Header Char"/>
    <w:basedOn w:val="DefaultParagraphFont"/>
    <w:link w:val="Header"/>
    <w:rsid w:val="002B6B66"/>
    <w:rPr>
      <w:sz w:val="24"/>
      <w:szCs w:val="24"/>
    </w:rPr>
  </w:style>
  <w:style w:type="paragraph" w:styleId="Footer">
    <w:name w:val="footer"/>
    <w:basedOn w:val="Normal"/>
    <w:link w:val="FooterChar"/>
    <w:uiPriority w:val="99"/>
    <w:rsid w:val="002B6B66"/>
    <w:pPr>
      <w:tabs>
        <w:tab w:val="center" w:pos="4680"/>
        <w:tab w:val="right" w:pos="9360"/>
      </w:tabs>
    </w:pPr>
  </w:style>
  <w:style w:type="character" w:customStyle="1" w:styleId="FooterChar">
    <w:name w:val="Footer Char"/>
    <w:basedOn w:val="DefaultParagraphFont"/>
    <w:link w:val="Footer"/>
    <w:uiPriority w:val="99"/>
    <w:rsid w:val="002B6B66"/>
    <w:rPr>
      <w:sz w:val="24"/>
      <w:szCs w:val="24"/>
    </w:rPr>
  </w:style>
  <w:style w:type="paragraph" w:styleId="ListParagraph">
    <w:name w:val="List Paragraph"/>
    <w:basedOn w:val="Normal"/>
    <w:uiPriority w:val="34"/>
    <w:qFormat/>
    <w:rsid w:val="00EF4E23"/>
    <w:pPr>
      <w:ind w:left="720"/>
      <w:contextualSpacing/>
    </w:pPr>
  </w:style>
</w:styles>
</file>

<file path=word/webSettings.xml><?xml version="1.0" encoding="utf-8"?>
<w:webSettings xmlns:r="http://schemas.openxmlformats.org/officeDocument/2006/relationships" xmlns:w="http://schemas.openxmlformats.org/wordprocessingml/2006/main">
  <w:divs>
    <w:div w:id="39014922">
      <w:bodyDiv w:val="1"/>
      <w:marLeft w:val="0"/>
      <w:marRight w:val="0"/>
      <w:marTop w:val="0"/>
      <w:marBottom w:val="0"/>
      <w:divBdr>
        <w:top w:val="none" w:sz="0" w:space="0" w:color="auto"/>
        <w:left w:val="none" w:sz="0" w:space="0" w:color="auto"/>
        <w:bottom w:val="none" w:sz="0" w:space="0" w:color="auto"/>
        <w:right w:val="none" w:sz="0" w:space="0" w:color="auto"/>
      </w:divBdr>
      <w:divsChild>
        <w:div w:id="1781755315">
          <w:marLeft w:val="0"/>
          <w:marRight w:val="0"/>
          <w:marTop w:val="0"/>
          <w:marBottom w:val="0"/>
          <w:divBdr>
            <w:top w:val="single" w:sz="6" w:space="1" w:color="CCCCCC"/>
            <w:left w:val="single" w:sz="6" w:space="1" w:color="CCCCCC"/>
            <w:bottom w:val="single" w:sz="6" w:space="1" w:color="CCCCCC"/>
            <w:right w:val="single" w:sz="6" w:space="1" w:color="CCCCCC"/>
          </w:divBdr>
          <w:divsChild>
            <w:div w:id="722414000">
              <w:marLeft w:val="0"/>
              <w:marRight w:val="0"/>
              <w:marTop w:val="0"/>
              <w:marBottom w:val="0"/>
              <w:divBdr>
                <w:top w:val="none" w:sz="0" w:space="0" w:color="auto"/>
                <w:left w:val="none" w:sz="0" w:space="0" w:color="auto"/>
                <w:bottom w:val="none" w:sz="0" w:space="0" w:color="auto"/>
                <w:right w:val="none" w:sz="0" w:space="0" w:color="auto"/>
              </w:divBdr>
              <w:divsChild>
                <w:div w:id="41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392">
      <w:bodyDiv w:val="1"/>
      <w:marLeft w:val="0"/>
      <w:marRight w:val="0"/>
      <w:marTop w:val="0"/>
      <w:marBottom w:val="0"/>
      <w:divBdr>
        <w:top w:val="none" w:sz="0" w:space="0" w:color="auto"/>
        <w:left w:val="none" w:sz="0" w:space="0" w:color="auto"/>
        <w:bottom w:val="none" w:sz="0" w:space="0" w:color="auto"/>
        <w:right w:val="none" w:sz="0" w:space="0" w:color="auto"/>
      </w:divBdr>
      <w:divsChild>
        <w:div w:id="119957465">
          <w:marLeft w:val="0"/>
          <w:marRight w:val="0"/>
          <w:marTop w:val="0"/>
          <w:marBottom w:val="0"/>
          <w:divBdr>
            <w:top w:val="single" w:sz="6" w:space="1" w:color="CCCCCC"/>
            <w:left w:val="single" w:sz="6" w:space="1" w:color="CCCCCC"/>
            <w:bottom w:val="single" w:sz="6" w:space="1" w:color="CCCCCC"/>
            <w:right w:val="single" w:sz="6" w:space="1" w:color="CCCCCC"/>
          </w:divBdr>
          <w:divsChild>
            <w:div w:id="1038580441">
              <w:marLeft w:val="0"/>
              <w:marRight w:val="0"/>
              <w:marTop w:val="0"/>
              <w:marBottom w:val="0"/>
              <w:divBdr>
                <w:top w:val="none" w:sz="0" w:space="0" w:color="auto"/>
                <w:left w:val="none" w:sz="0" w:space="0" w:color="auto"/>
                <w:bottom w:val="none" w:sz="0" w:space="0" w:color="auto"/>
                <w:right w:val="none" w:sz="0" w:space="0" w:color="auto"/>
              </w:divBdr>
              <w:divsChild>
                <w:div w:id="12106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8362">
      <w:bodyDiv w:val="1"/>
      <w:marLeft w:val="0"/>
      <w:marRight w:val="0"/>
      <w:marTop w:val="0"/>
      <w:marBottom w:val="0"/>
      <w:divBdr>
        <w:top w:val="none" w:sz="0" w:space="0" w:color="auto"/>
        <w:left w:val="none" w:sz="0" w:space="0" w:color="auto"/>
        <w:bottom w:val="none" w:sz="0" w:space="0" w:color="auto"/>
        <w:right w:val="none" w:sz="0" w:space="0" w:color="auto"/>
      </w:divBdr>
      <w:divsChild>
        <w:div w:id="2142964971">
          <w:marLeft w:val="0"/>
          <w:marRight w:val="0"/>
          <w:marTop w:val="0"/>
          <w:marBottom w:val="0"/>
          <w:divBdr>
            <w:top w:val="none" w:sz="0" w:space="0" w:color="auto"/>
            <w:left w:val="none" w:sz="0" w:space="0" w:color="auto"/>
            <w:bottom w:val="none" w:sz="0" w:space="0" w:color="auto"/>
            <w:right w:val="none" w:sz="0" w:space="0" w:color="auto"/>
          </w:divBdr>
          <w:divsChild>
            <w:div w:id="77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9573">
      <w:bodyDiv w:val="1"/>
      <w:marLeft w:val="0"/>
      <w:marRight w:val="0"/>
      <w:marTop w:val="0"/>
      <w:marBottom w:val="0"/>
      <w:divBdr>
        <w:top w:val="none" w:sz="0" w:space="0" w:color="auto"/>
        <w:left w:val="none" w:sz="0" w:space="0" w:color="auto"/>
        <w:bottom w:val="none" w:sz="0" w:space="0" w:color="auto"/>
        <w:right w:val="none" w:sz="0" w:space="0" w:color="auto"/>
      </w:divBdr>
      <w:divsChild>
        <w:div w:id="2126464047">
          <w:marLeft w:val="0"/>
          <w:marRight w:val="0"/>
          <w:marTop w:val="0"/>
          <w:marBottom w:val="0"/>
          <w:divBdr>
            <w:top w:val="none" w:sz="0" w:space="0" w:color="auto"/>
            <w:left w:val="none" w:sz="0" w:space="0" w:color="auto"/>
            <w:bottom w:val="none" w:sz="0" w:space="0" w:color="auto"/>
            <w:right w:val="none" w:sz="0" w:space="0" w:color="auto"/>
          </w:divBdr>
          <w:divsChild>
            <w:div w:id="1900357097">
              <w:marLeft w:val="0"/>
              <w:marRight w:val="0"/>
              <w:marTop w:val="0"/>
              <w:marBottom w:val="0"/>
              <w:divBdr>
                <w:top w:val="none" w:sz="0" w:space="0" w:color="auto"/>
                <w:left w:val="none" w:sz="0" w:space="0" w:color="auto"/>
                <w:bottom w:val="none" w:sz="0" w:space="0" w:color="auto"/>
                <w:right w:val="none" w:sz="0" w:space="0" w:color="auto"/>
              </w:divBdr>
              <w:divsChild>
                <w:div w:id="1604267291">
                  <w:marLeft w:val="0"/>
                  <w:marRight w:val="0"/>
                  <w:marTop w:val="0"/>
                  <w:marBottom w:val="0"/>
                  <w:divBdr>
                    <w:top w:val="none" w:sz="0" w:space="0" w:color="auto"/>
                    <w:left w:val="none" w:sz="0" w:space="0" w:color="auto"/>
                    <w:bottom w:val="none" w:sz="0" w:space="0" w:color="auto"/>
                    <w:right w:val="none" w:sz="0" w:space="0" w:color="auto"/>
                  </w:divBdr>
                  <w:divsChild>
                    <w:div w:id="1436097954">
                      <w:marLeft w:val="0"/>
                      <w:marRight w:val="0"/>
                      <w:marTop w:val="0"/>
                      <w:marBottom w:val="0"/>
                      <w:divBdr>
                        <w:top w:val="none" w:sz="0" w:space="0" w:color="auto"/>
                        <w:left w:val="none" w:sz="0" w:space="0" w:color="auto"/>
                        <w:bottom w:val="none" w:sz="0" w:space="0" w:color="auto"/>
                        <w:right w:val="none" w:sz="0" w:space="0" w:color="auto"/>
                      </w:divBdr>
                      <w:divsChild>
                        <w:div w:id="2023359477">
                          <w:marLeft w:val="0"/>
                          <w:marRight w:val="0"/>
                          <w:marTop w:val="0"/>
                          <w:marBottom w:val="0"/>
                          <w:divBdr>
                            <w:top w:val="none" w:sz="0" w:space="0" w:color="auto"/>
                            <w:left w:val="none" w:sz="0" w:space="0" w:color="auto"/>
                            <w:bottom w:val="none" w:sz="0" w:space="0" w:color="auto"/>
                            <w:right w:val="none" w:sz="0" w:space="0" w:color="auto"/>
                          </w:divBdr>
                          <w:divsChild>
                            <w:div w:id="675428436">
                              <w:marLeft w:val="0"/>
                              <w:marRight w:val="0"/>
                              <w:marTop w:val="0"/>
                              <w:marBottom w:val="0"/>
                              <w:divBdr>
                                <w:top w:val="none" w:sz="0" w:space="0" w:color="auto"/>
                                <w:left w:val="none" w:sz="0" w:space="0" w:color="auto"/>
                                <w:bottom w:val="none" w:sz="0" w:space="0" w:color="auto"/>
                                <w:right w:val="none" w:sz="0" w:space="0" w:color="auto"/>
                              </w:divBdr>
                              <w:divsChild>
                                <w:div w:id="1405373223">
                                  <w:marLeft w:val="0"/>
                                  <w:marRight w:val="0"/>
                                  <w:marTop w:val="0"/>
                                  <w:marBottom w:val="0"/>
                                  <w:divBdr>
                                    <w:top w:val="none" w:sz="0" w:space="0" w:color="auto"/>
                                    <w:left w:val="none" w:sz="0" w:space="0" w:color="auto"/>
                                    <w:bottom w:val="none" w:sz="0" w:space="0" w:color="auto"/>
                                    <w:right w:val="none" w:sz="0" w:space="0" w:color="auto"/>
                                  </w:divBdr>
                                  <w:divsChild>
                                    <w:div w:id="8927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9196">
      <w:bodyDiv w:val="1"/>
      <w:marLeft w:val="0"/>
      <w:marRight w:val="0"/>
      <w:marTop w:val="0"/>
      <w:marBottom w:val="0"/>
      <w:divBdr>
        <w:top w:val="none" w:sz="0" w:space="0" w:color="auto"/>
        <w:left w:val="none" w:sz="0" w:space="0" w:color="auto"/>
        <w:bottom w:val="none" w:sz="0" w:space="0" w:color="auto"/>
        <w:right w:val="none" w:sz="0" w:space="0" w:color="auto"/>
      </w:divBdr>
      <w:divsChild>
        <w:div w:id="158159943">
          <w:marLeft w:val="0"/>
          <w:marRight w:val="0"/>
          <w:marTop w:val="0"/>
          <w:marBottom w:val="0"/>
          <w:divBdr>
            <w:top w:val="single" w:sz="6" w:space="1" w:color="CCCCCC"/>
            <w:left w:val="single" w:sz="6" w:space="1" w:color="CCCCCC"/>
            <w:bottom w:val="single" w:sz="6" w:space="1" w:color="CCCCCC"/>
            <w:right w:val="single" w:sz="6" w:space="1" w:color="CCCCCC"/>
          </w:divBdr>
          <w:divsChild>
            <w:div w:id="88238564">
              <w:marLeft w:val="0"/>
              <w:marRight w:val="0"/>
              <w:marTop w:val="0"/>
              <w:marBottom w:val="0"/>
              <w:divBdr>
                <w:top w:val="none" w:sz="0" w:space="0" w:color="auto"/>
                <w:left w:val="none" w:sz="0" w:space="0" w:color="auto"/>
                <w:bottom w:val="none" w:sz="0" w:space="0" w:color="auto"/>
                <w:right w:val="none" w:sz="0" w:space="0" w:color="auto"/>
              </w:divBdr>
              <w:divsChild>
                <w:div w:id="948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4256">
      <w:bodyDiv w:val="1"/>
      <w:marLeft w:val="0"/>
      <w:marRight w:val="0"/>
      <w:marTop w:val="0"/>
      <w:marBottom w:val="0"/>
      <w:divBdr>
        <w:top w:val="none" w:sz="0" w:space="0" w:color="auto"/>
        <w:left w:val="none" w:sz="0" w:space="0" w:color="auto"/>
        <w:bottom w:val="none" w:sz="0" w:space="0" w:color="auto"/>
        <w:right w:val="none" w:sz="0" w:space="0" w:color="auto"/>
      </w:divBdr>
      <w:divsChild>
        <w:div w:id="2097827004">
          <w:marLeft w:val="0"/>
          <w:marRight w:val="0"/>
          <w:marTop w:val="0"/>
          <w:marBottom w:val="0"/>
          <w:divBdr>
            <w:top w:val="single" w:sz="6" w:space="1" w:color="CCCCCC"/>
            <w:left w:val="single" w:sz="6" w:space="1" w:color="CCCCCC"/>
            <w:bottom w:val="single" w:sz="6" w:space="1" w:color="CCCCCC"/>
            <w:right w:val="single" w:sz="6" w:space="1" w:color="CCCCCC"/>
          </w:divBdr>
          <w:divsChild>
            <w:div w:id="1816289213">
              <w:marLeft w:val="0"/>
              <w:marRight w:val="0"/>
              <w:marTop w:val="0"/>
              <w:marBottom w:val="0"/>
              <w:divBdr>
                <w:top w:val="none" w:sz="0" w:space="0" w:color="auto"/>
                <w:left w:val="none" w:sz="0" w:space="0" w:color="auto"/>
                <w:bottom w:val="none" w:sz="0" w:space="0" w:color="auto"/>
                <w:right w:val="none" w:sz="0" w:space="0" w:color="auto"/>
              </w:divBdr>
              <w:divsChild>
                <w:div w:id="86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844">
      <w:bodyDiv w:val="1"/>
      <w:marLeft w:val="0"/>
      <w:marRight w:val="0"/>
      <w:marTop w:val="0"/>
      <w:marBottom w:val="0"/>
      <w:divBdr>
        <w:top w:val="none" w:sz="0" w:space="0" w:color="auto"/>
        <w:left w:val="none" w:sz="0" w:space="0" w:color="auto"/>
        <w:bottom w:val="none" w:sz="0" w:space="0" w:color="auto"/>
        <w:right w:val="none" w:sz="0" w:space="0" w:color="auto"/>
      </w:divBdr>
      <w:divsChild>
        <w:div w:id="2003774930">
          <w:marLeft w:val="0"/>
          <w:marRight w:val="0"/>
          <w:marTop w:val="0"/>
          <w:marBottom w:val="0"/>
          <w:divBdr>
            <w:top w:val="single" w:sz="6" w:space="1" w:color="CCCCCC"/>
            <w:left w:val="single" w:sz="6" w:space="1" w:color="CCCCCC"/>
            <w:bottom w:val="single" w:sz="6" w:space="1" w:color="CCCCCC"/>
            <w:right w:val="single" w:sz="6" w:space="1" w:color="CCCCCC"/>
          </w:divBdr>
          <w:divsChild>
            <w:div w:id="2142964643">
              <w:marLeft w:val="0"/>
              <w:marRight w:val="0"/>
              <w:marTop w:val="0"/>
              <w:marBottom w:val="0"/>
              <w:divBdr>
                <w:top w:val="none" w:sz="0" w:space="0" w:color="auto"/>
                <w:left w:val="none" w:sz="0" w:space="0" w:color="auto"/>
                <w:bottom w:val="none" w:sz="0" w:space="0" w:color="auto"/>
                <w:right w:val="none" w:sz="0" w:space="0" w:color="auto"/>
              </w:divBdr>
              <w:divsChild>
                <w:div w:id="17946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5144">
      <w:bodyDiv w:val="1"/>
      <w:marLeft w:val="0"/>
      <w:marRight w:val="0"/>
      <w:marTop w:val="0"/>
      <w:marBottom w:val="0"/>
      <w:divBdr>
        <w:top w:val="none" w:sz="0" w:space="0" w:color="auto"/>
        <w:left w:val="none" w:sz="0" w:space="0" w:color="auto"/>
        <w:bottom w:val="none" w:sz="0" w:space="0" w:color="auto"/>
        <w:right w:val="none" w:sz="0" w:space="0" w:color="auto"/>
      </w:divBdr>
      <w:divsChild>
        <w:div w:id="1825316142">
          <w:marLeft w:val="0"/>
          <w:marRight w:val="0"/>
          <w:marTop w:val="0"/>
          <w:marBottom w:val="0"/>
          <w:divBdr>
            <w:top w:val="single" w:sz="6" w:space="1" w:color="CCCCCC"/>
            <w:left w:val="single" w:sz="6" w:space="1" w:color="CCCCCC"/>
            <w:bottom w:val="single" w:sz="6" w:space="1" w:color="CCCCCC"/>
            <w:right w:val="single" w:sz="6" w:space="1" w:color="CCCCCC"/>
          </w:divBdr>
          <w:divsChild>
            <w:div w:id="845636871">
              <w:marLeft w:val="0"/>
              <w:marRight w:val="0"/>
              <w:marTop w:val="0"/>
              <w:marBottom w:val="0"/>
              <w:divBdr>
                <w:top w:val="none" w:sz="0" w:space="0" w:color="auto"/>
                <w:left w:val="none" w:sz="0" w:space="0" w:color="auto"/>
                <w:bottom w:val="none" w:sz="0" w:space="0" w:color="auto"/>
                <w:right w:val="none" w:sz="0" w:space="0" w:color="auto"/>
              </w:divBdr>
              <w:divsChild>
                <w:div w:id="12279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7601">
      <w:bodyDiv w:val="1"/>
      <w:marLeft w:val="0"/>
      <w:marRight w:val="0"/>
      <w:marTop w:val="0"/>
      <w:marBottom w:val="0"/>
      <w:divBdr>
        <w:top w:val="none" w:sz="0" w:space="0" w:color="auto"/>
        <w:left w:val="none" w:sz="0" w:space="0" w:color="auto"/>
        <w:bottom w:val="none" w:sz="0" w:space="0" w:color="auto"/>
        <w:right w:val="none" w:sz="0" w:space="0" w:color="auto"/>
      </w:divBdr>
      <w:divsChild>
        <w:div w:id="866020993">
          <w:marLeft w:val="0"/>
          <w:marRight w:val="0"/>
          <w:marTop w:val="0"/>
          <w:marBottom w:val="0"/>
          <w:divBdr>
            <w:top w:val="none" w:sz="0" w:space="0" w:color="auto"/>
            <w:left w:val="none" w:sz="0" w:space="0" w:color="auto"/>
            <w:bottom w:val="none" w:sz="0" w:space="0" w:color="auto"/>
            <w:right w:val="none" w:sz="0" w:space="0" w:color="auto"/>
          </w:divBdr>
          <w:divsChild>
            <w:div w:id="4573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myflorida.com/human_resource_support/people_fir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D84C-150B-48CF-BB89-038A8EF1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1854</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163, Part II</vt:lpstr>
    </vt:vector>
  </TitlesOfParts>
  <Company>State of Florida</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 Part II</dc:title>
  <dc:subject/>
  <dc:creator>gilreath.debbie</dc:creator>
  <cp:keywords/>
  <dc:description/>
  <cp:lastModifiedBy>GILREATH.DEBBIE</cp:lastModifiedBy>
  <cp:revision>12</cp:revision>
  <cp:lastPrinted>2009-12-21T19:30:00Z</cp:lastPrinted>
  <dcterms:created xsi:type="dcterms:W3CDTF">2009-11-06T18:06:00Z</dcterms:created>
  <dcterms:modified xsi:type="dcterms:W3CDTF">2009-12-21T19:36:00Z</dcterms:modified>
</cp:coreProperties>
</file>