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C90" w:rsidRPr="00CA50CF" w:rsidRDefault="008C4C90" w:rsidP="00CA50CF">
      <w:pPr>
        <w:pStyle w:val="bodytext"/>
        <w:spacing w:before="120"/>
        <w:jc w:val="center"/>
        <w:rPr>
          <w:rFonts w:ascii="Arial Black" w:hAnsi="Arial Black"/>
          <w:b/>
          <w:sz w:val="24"/>
          <w:szCs w:val="24"/>
        </w:rPr>
      </w:pPr>
      <w:r w:rsidRPr="00CA50CF">
        <w:rPr>
          <w:rFonts w:ascii="Arial Black" w:hAnsi="Arial Black"/>
          <w:b/>
          <w:sz w:val="24"/>
          <w:szCs w:val="24"/>
        </w:rPr>
        <w:t xml:space="preserve">Department of </w:t>
      </w:r>
      <w:r w:rsidR="003830CC">
        <w:rPr>
          <w:rFonts w:ascii="Arial Black" w:hAnsi="Arial Black"/>
          <w:b/>
          <w:sz w:val="24"/>
          <w:szCs w:val="24"/>
        </w:rPr>
        <w:t>State</w:t>
      </w:r>
    </w:p>
    <w:p w:rsidR="008C4C90" w:rsidRPr="00CA50CF" w:rsidRDefault="008C4C90" w:rsidP="00CA50CF">
      <w:pPr>
        <w:pStyle w:val="bodytext"/>
        <w:spacing w:before="120"/>
        <w:jc w:val="center"/>
        <w:rPr>
          <w:b/>
        </w:rPr>
      </w:pPr>
      <w:r w:rsidRPr="00CA50CF">
        <w:rPr>
          <w:rFonts w:ascii="Arial Black" w:hAnsi="Arial Black"/>
          <w:b/>
          <w:sz w:val="24"/>
          <w:szCs w:val="24"/>
        </w:rPr>
        <w:t>Joint Sunset Committee Recommendations</w:t>
      </w:r>
    </w:p>
    <w:tbl>
      <w:tblPr>
        <w:tblStyle w:val="TableGrid"/>
        <w:tblW w:w="0" w:type="auto"/>
        <w:tblLook w:val="04A0"/>
      </w:tblPr>
      <w:tblGrid>
        <w:gridCol w:w="13986"/>
      </w:tblGrid>
      <w:tr w:rsidR="003B3E72" w:rsidTr="003B3E72">
        <w:tc>
          <w:tcPr>
            <w:tcW w:w="13986" w:type="dxa"/>
          </w:tcPr>
          <w:p w:rsidR="003B3E72" w:rsidRDefault="00CA50CF" w:rsidP="0042729D">
            <w:pPr>
              <w:pStyle w:val="bodytext"/>
              <w:spacing w:before="120"/>
              <w:jc w:val="left"/>
              <w:rPr>
                <w:b/>
              </w:rPr>
            </w:pPr>
            <w:r>
              <w:t>T</w:t>
            </w:r>
            <w:r w:rsidRPr="00A849D5">
              <w:t>he 2006 Legislature enacted the Florida Government Accountability Act, which established an agency sunset review process to be used by the Legislature to determine if a public need exists for the continuation of a state agency, its advisory committees, or its programs.</w:t>
            </w:r>
            <w:r>
              <w:t xml:space="preserve">  The Department of </w:t>
            </w:r>
            <w:r w:rsidR="00A447C8">
              <w:t>State</w:t>
            </w:r>
            <w:r>
              <w:t xml:space="preserve"> (D</w:t>
            </w:r>
            <w:r w:rsidR="00A447C8">
              <w:t>OS</w:t>
            </w:r>
            <w:r>
              <w:t xml:space="preserve">) is one of four agencies being reviewed during the 2010 cycle.  The Joint Sunset Committee focused </w:t>
            </w:r>
            <w:r w:rsidRPr="00832891">
              <w:t xml:space="preserve">on </w:t>
            </w:r>
            <w:r>
              <w:t xml:space="preserve">similar activities being performed by multiple state agencies and </w:t>
            </w:r>
            <w:r w:rsidR="007476EF">
              <w:t>recommends that the agency, its programs, and advisory councils be continued, except for the following recommendations</w:t>
            </w:r>
            <w:r>
              <w:t xml:space="preserve">.  </w:t>
            </w:r>
          </w:p>
        </w:tc>
      </w:tr>
      <w:tr w:rsidR="003B3E72" w:rsidTr="003B3E72">
        <w:tc>
          <w:tcPr>
            <w:tcW w:w="13986" w:type="dxa"/>
          </w:tcPr>
          <w:p w:rsidR="003B3E72" w:rsidRPr="000C4BBA" w:rsidRDefault="00A447C8" w:rsidP="00CA50CF">
            <w:pPr>
              <w:pStyle w:val="bodytext"/>
              <w:spacing w:before="120"/>
              <w:jc w:val="left"/>
              <w:rPr>
                <w:rFonts w:ascii="Arial" w:hAnsi="Arial" w:cs="Arial"/>
                <w:szCs w:val="22"/>
              </w:rPr>
            </w:pPr>
            <w:r>
              <w:rPr>
                <w:rFonts w:ascii="Arial Black" w:hAnsi="Arial Black"/>
                <w:b/>
                <w:i/>
                <w:szCs w:val="22"/>
              </w:rPr>
              <w:t>Notary Public</w:t>
            </w:r>
            <w:r w:rsidR="000C4BBA">
              <w:rPr>
                <w:rFonts w:ascii="Arial Black" w:hAnsi="Arial Black"/>
                <w:b/>
                <w:i/>
                <w:szCs w:val="22"/>
              </w:rPr>
              <w:t xml:space="preserve"> </w:t>
            </w:r>
            <w:r w:rsidR="000C4BBA">
              <w:rPr>
                <w:rFonts w:ascii="Arial" w:hAnsi="Arial" w:cs="Arial"/>
                <w:b/>
                <w:i/>
                <w:szCs w:val="22"/>
              </w:rPr>
              <w:t>(Tab 2A)</w:t>
            </w:r>
          </w:p>
          <w:p w:rsidR="003B3E72" w:rsidRDefault="00A447C8" w:rsidP="003B3E72">
            <w:pPr>
              <w:pStyle w:val="bodytext"/>
              <w:spacing w:before="120"/>
              <w:jc w:val="left"/>
            </w:pPr>
            <w:r>
              <w:t>Currently both the Department of State and the Executive Office of the Governor play vital roles in the appointi</w:t>
            </w:r>
            <w:r w:rsidR="00AF7E82">
              <w:t>ng and commissioning notaries.</w:t>
            </w:r>
          </w:p>
          <w:p w:rsidR="003B3E72" w:rsidRDefault="00A447C8" w:rsidP="00AF7E82">
            <w:pPr>
              <w:pStyle w:val="bodytext"/>
              <w:numPr>
                <w:ilvl w:val="0"/>
                <w:numId w:val="8"/>
              </w:numPr>
              <w:jc w:val="left"/>
            </w:pPr>
            <w:r>
              <w:t>DOS acts as the administrative arm for notaries by processing applications and issuing commissions</w:t>
            </w:r>
          </w:p>
          <w:p w:rsidR="00A447C8" w:rsidRDefault="00AF7E82" w:rsidP="00AF7E82">
            <w:pPr>
              <w:pStyle w:val="bodytext"/>
              <w:numPr>
                <w:ilvl w:val="0"/>
                <w:numId w:val="8"/>
              </w:numPr>
              <w:jc w:val="left"/>
            </w:pPr>
            <w:r>
              <w:t>D</w:t>
            </w:r>
            <w:r w:rsidR="00A447C8">
              <w:t>OS also keeps and maintains all records related to notaries which is accessible to the public</w:t>
            </w:r>
          </w:p>
          <w:p w:rsidR="00A447C8" w:rsidRPr="00A4561F" w:rsidRDefault="00A447C8" w:rsidP="00AF7E82">
            <w:pPr>
              <w:pStyle w:val="bodytext"/>
              <w:numPr>
                <w:ilvl w:val="0"/>
                <w:numId w:val="8"/>
              </w:numPr>
              <w:jc w:val="left"/>
            </w:pPr>
            <w:r>
              <w:t>EOG approves applications, follows up on any complaints and recommends disciplinary actions when appropriate, publishes educational materials and holds notary seminars, and answers any inquiries from notaries</w:t>
            </w:r>
          </w:p>
          <w:p w:rsidR="003B3E72" w:rsidRPr="003B3E72" w:rsidRDefault="003B3E72" w:rsidP="003B3E72">
            <w:pPr>
              <w:pStyle w:val="bodytext"/>
              <w:jc w:val="left"/>
              <w:rPr>
                <w:rFonts w:ascii="Arial Black" w:hAnsi="Arial Black"/>
                <w:b/>
                <w:i/>
                <w:sz w:val="24"/>
                <w:szCs w:val="24"/>
              </w:rPr>
            </w:pPr>
            <w:r w:rsidRPr="00CA50CF">
              <w:rPr>
                <w:rStyle w:val="Emphasis"/>
                <w:sz w:val="20"/>
              </w:rPr>
              <w:t>Recommendation</w:t>
            </w:r>
          </w:p>
          <w:p w:rsidR="003B3E72" w:rsidRPr="003B3E72" w:rsidRDefault="00A447C8" w:rsidP="003B3E72">
            <w:pPr>
              <w:pStyle w:val="bodytext"/>
              <w:jc w:val="left"/>
              <w:rPr>
                <w:bCs/>
                <w:szCs w:val="18"/>
              </w:rPr>
            </w:pPr>
            <w:r>
              <w:rPr>
                <w:bCs/>
                <w:szCs w:val="18"/>
              </w:rPr>
              <w:t>Combine the EOG notary Section with</w:t>
            </w:r>
            <w:r w:rsidR="002539FC">
              <w:rPr>
                <w:bCs/>
                <w:szCs w:val="18"/>
              </w:rPr>
              <w:t>in</w:t>
            </w:r>
            <w:r>
              <w:rPr>
                <w:bCs/>
                <w:szCs w:val="18"/>
              </w:rPr>
              <w:t xml:space="preserve"> the DOS notary </w:t>
            </w:r>
            <w:r w:rsidR="00361DAE">
              <w:rPr>
                <w:bCs/>
                <w:szCs w:val="18"/>
              </w:rPr>
              <w:t>section</w:t>
            </w:r>
          </w:p>
        </w:tc>
      </w:tr>
      <w:tr w:rsidR="003B3E72" w:rsidTr="003B3E72">
        <w:tc>
          <w:tcPr>
            <w:tcW w:w="13986" w:type="dxa"/>
          </w:tcPr>
          <w:p w:rsidR="003B3E72" w:rsidRPr="00CA50CF" w:rsidRDefault="00A447C8" w:rsidP="00CA50CF">
            <w:pPr>
              <w:pStyle w:val="bodytext"/>
              <w:spacing w:before="120"/>
              <w:jc w:val="left"/>
              <w:rPr>
                <w:rFonts w:ascii="Arial Black" w:hAnsi="Arial Black"/>
                <w:b/>
                <w:i/>
                <w:szCs w:val="22"/>
              </w:rPr>
            </w:pPr>
            <w:r>
              <w:rPr>
                <w:rFonts w:ascii="Arial Black" w:hAnsi="Arial Black"/>
                <w:b/>
                <w:i/>
                <w:szCs w:val="22"/>
              </w:rPr>
              <w:t>Master Business Index</w:t>
            </w:r>
            <w:r w:rsidR="000C4BBA">
              <w:rPr>
                <w:rFonts w:ascii="Arial Black" w:hAnsi="Arial Black"/>
                <w:b/>
                <w:i/>
                <w:szCs w:val="22"/>
              </w:rPr>
              <w:t xml:space="preserve"> </w:t>
            </w:r>
            <w:r w:rsidR="000C4BBA">
              <w:rPr>
                <w:rFonts w:ascii="Arial" w:hAnsi="Arial" w:cs="Arial"/>
                <w:b/>
                <w:i/>
                <w:szCs w:val="22"/>
              </w:rPr>
              <w:t>(Tab 2B)</w:t>
            </w:r>
          </w:p>
          <w:p w:rsidR="003B3E72" w:rsidRPr="00D15700" w:rsidRDefault="00A447C8" w:rsidP="003B3E72">
            <w:pPr>
              <w:pStyle w:val="bodytext"/>
              <w:spacing w:before="120"/>
              <w:jc w:val="left"/>
            </w:pPr>
            <w:r w:rsidRPr="00353B57">
              <w:t>Individuals that start businesses in Florida must</w:t>
            </w:r>
            <w:r>
              <w:t xml:space="preserve"> </w:t>
            </w:r>
            <w:r w:rsidRPr="00353B57">
              <w:t>interact with multiple state agencies to obtain</w:t>
            </w:r>
            <w:r>
              <w:t xml:space="preserve"> </w:t>
            </w:r>
            <w:r w:rsidRPr="00353B57">
              <w:t>needed registrations, licenses, and tax certificates</w:t>
            </w:r>
            <w:r>
              <w:t xml:space="preserve">. </w:t>
            </w:r>
            <w:r w:rsidRPr="00353B57">
              <w:t>To address these</w:t>
            </w:r>
            <w:r>
              <w:t xml:space="preserve"> </w:t>
            </w:r>
            <w:r w:rsidRPr="00353B57">
              <w:t>issues, the Legislature enacted the Florida</w:t>
            </w:r>
            <w:r>
              <w:t xml:space="preserve"> </w:t>
            </w:r>
            <w:r w:rsidRPr="00353B57">
              <w:t>Business Coordination Act. This act directed</w:t>
            </w:r>
            <w:r>
              <w:t xml:space="preserve"> </w:t>
            </w:r>
            <w:r w:rsidRPr="00353B57">
              <w:t>the Department of State to develop a master</w:t>
            </w:r>
            <w:r>
              <w:t xml:space="preserve"> </w:t>
            </w:r>
            <w:r w:rsidRPr="00353B57">
              <w:t>business index, which was to consolidate all</w:t>
            </w:r>
            <w:r>
              <w:t xml:space="preserve"> </w:t>
            </w:r>
            <w:r w:rsidRPr="00353B57">
              <w:t>business entity records maintained by state</w:t>
            </w:r>
            <w:r>
              <w:t xml:space="preserve"> </w:t>
            </w:r>
            <w:r w:rsidRPr="00353B57">
              <w:t>agencies and assign a single identifying number</w:t>
            </w:r>
            <w:r>
              <w:t xml:space="preserve"> </w:t>
            </w:r>
            <w:r w:rsidRPr="00353B57">
              <w:t>to each business to enable agencies to share and</w:t>
            </w:r>
            <w:r>
              <w:t xml:space="preserve"> </w:t>
            </w:r>
            <w:r w:rsidRPr="00353B57">
              <w:t>easily retrieve business registration and license</w:t>
            </w:r>
            <w:r>
              <w:t xml:space="preserve"> </w:t>
            </w:r>
            <w:r w:rsidRPr="00353B57">
              <w:t>information.</w:t>
            </w:r>
          </w:p>
          <w:p w:rsidR="003B3E72" w:rsidRPr="003B3E72" w:rsidRDefault="003B3E72" w:rsidP="003B3E72">
            <w:pPr>
              <w:pStyle w:val="bodytext"/>
              <w:jc w:val="left"/>
              <w:rPr>
                <w:rFonts w:ascii="Arial Black" w:hAnsi="Arial Black"/>
                <w:b/>
                <w:i/>
                <w:sz w:val="24"/>
                <w:szCs w:val="24"/>
              </w:rPr>
            </w:pPr>
            <w:r w:rsidRPr="00CA50CF">
              <w:rPr>
                <w:rStyle w:val="Emphasis"/>
                <w:sz w:val="20"/>
              </w:rPr>
              <w:t>Recommendation</w:t>
            </w:r>
          </w:p>
          <w:p w:rsidR="003B3E72" w:rsidRPr="003B3E72" w:rsidRDefault="002539FC" w:rsidP="0010339B">
            <w:pPr>
              <w:pStyle w:val="bodytext"/>
              <w:spacing w:before="120"/>
            </w:pPr>
            <w:r>
              <w:t>It is the recommendation of the Joint Sunset Committee the Legislature pursues using the Single Business Identifier/Master Business Index. The Legislature should create a task force that would include, at a minimum, the Department of State, the Department of Business and Professional Regulation, the Department of Revenue and the Agency for Enterprise Information Technology to formulate and propose an implementation plan for state agencies to use the SBI/MBI.</w:t>
            </w:r>
          </w:p>
        </w:tc>
      </w:tr>
    </w:tbl>
    <w:p w:rsidR="00AF7E82" w:rsidRDefault="00AF7E82">
      <w:r>
        <w:br w:type="page"/>
      </w:r>
    </w:p>
    <w:tbl>
      <w:tblPr>
        <w:tblStyle w:val="TableGrid"/>
        <w:tblW w:w="0" w:type="auto"/>
        <w:tblLook w:val="04A0"/>
      </w:tblPr>
      <w:tblGrid>
        <w:gridCol w:w="13986"/>
      </w:tblGrid>
      <w:tr w:rsidR="003B3E72" w:rsidTr="003B3E72">
        <w:tc>
          <w:tcPr>
            <w:tcW w:w="13986" w:type="dxa"/>
          </w:tcPr>
          <w:p w:rsidR="003B3E72" w:rsidRPr="00CA50CF" w:rsidRDefault="005226D1" w:rsidP="00CA50CF">
            <w:pPr>
              <w:pStyle w:val="bodytext"/>
              <w:spacing w:before="120"/>
              <w:jc w:val="left"/>
              <w:rPr>
                <w:rFonts w:ascii="Arial Black" w:hAnsi="Arial Black"/>
                <w:b/>
                <w:i/>
                <w:szCs w:val="22"/>
              </w:rPr>
            </w:pPr>
            <w:r>
              <w:rPr>
                <w:rFonts w:ascii="Arial Black" w:hAnsi="Arial Black"/>
                <w:b/>
                <w:i/>
                <w:szCs w:val="22"/>
              </w:rPr>
              <w:lastRenderedPageBreak/>
              <w:t>The Grove Advisory Council</w:t>
            </w:r>
          </w:p>
          <w:p w:rsidR="003B3E72" w:rsidRPr="00D15700" w:rsidRDefault="005226D1" w:rsidP="003B3E72">
            <w:pPr>
              <w:pStyle w:val="bodytext"/>
              <w:spacing w:before="120"/>
              <w:jc w:val="left"/>
            </w:pPr>
            <w:r w:rsidRPr="005226D1">
              <w:t>The purpose of The Grove Advisory Council is to advise the Department of State on the operation, maintenance, preservation, and protection of the Call/Collins House in Tallahassee, commonly known as The Grove.  This includes the grounds, cemetery, structures, and furnishings.</w:t>
            </w:r>
          </w:p>
          <w:p w:rsidR="003B3E72" w:rsidRPr="003B3E72" w:rsidRDefault="003B3E72" w:rsidP="003B3E72">
            <w:pPr>
              <w:pStyle w:val="bodytext"/>
              <w:jc w:val="left"/>
              <w:rPr>
                <w:rFonts w:ascii="Arial Black" w:hAnsi="Arial Black"/>
                <w:b/>
                <w:i/>
                <w:sz w:val="24"/>
                <w:szCs w:val="24"/>
              </w:rPr>
            </w:pPr>
            <w:r w:rsidRPr="00CA50CF">
              <w:rPr>
                <w:rStyle w:val="Emphasis"/>
                <w:sz w:val="20"/>
              </w:rPr>
              <w:t>Recommendation</w:t>
            </w:r>
            <w:r w:rsidR="0088397A">
              <w:rPr>
                <w:rStyle w:val="Emphasis"/>
                <w:i/>
                <w:sz w:val="20"/>
              </w:rPr>
              <w:t xml:space="preserve"> </w:t>
            </w:r>
          </w:p>
          <w:p w:rsidR="003B3E72" w:rsidRPr="003B3E72" w:rsidRDefault="005226D1" w:rsidP="005226D1">
            <w:pPr>
              <w:pStyle w:val="bodytext"/>
              <w:spacing w:before="120"/>
              <w:jc w:val="left"/>
            </w:pPr>
            <w:r w:rsidRPr="005226D1">
              <w:t>Abolish</w:t>
            </w:r>
            <w:r w:rsidRPr="005226D1">
              <w:rPr>
                <w:b/>
                <w:i/>
              </w:rPr>
              <w:t xml:space="preserve"> </w:t>
            </w:r>
            <w:r w:rsidRPr="005226D1">
              <w:t xml:space="preserve">– </w:t>
            </w:r>
            <w:r>
              <w:t>T</w:t>
            </w:r>
            <w:r w:rsidRPr="005226D1">
              <w:t>he management, maintenance, and operation of the Grove should be assumed by a not-for-profit citizen support organization as the property evolves into a house museum</w:t>
            </w:r>
            <w:r>
              <w:t>.</w:t>
            </w:r>
          </w:p>
        </w:tc>
      </w:tr>
      <w:tr w:rsidR="003B3E72" w:rsidTr="003B3E72">
        <w:tc>
          <w:tcPr>
            <w:tcW w:w="13986" w:type="dxa"/>
          </w:tcPr>
          <w:p w:rsidR="00CA50CF" w:rsidRPr="005226D1" w:rsidRDefault="005226D1" w:rsidP="00CA50CF">
            <w:pPr>
              <w:pStyle w:val="bodytext"/>
              <w:spacing w:before="120"/>
              <w:jc w:val="left"/>
              <w:rPr>
                <w:rFonts w:ascii="Arial Black" w:hAnsi="Arial Black"/>
                <w:b/>
                <w:i/>
                <w:szCs w:val="22"/>
              </w:rPr>
            </w:pPr>
            <w:r w:rsidRPr="005226D1">
              <w:rPr>
                <w:rFonts w:ascii="Arial Black" w:hAnsi="Arial Black"/>
                <w:b/>
                <w:i/>
                <w:szCs w:val="22"/>
              </w:rPr>
              <w:t>State Historical Marker Council</w:t>
            </w:r>
          </w:p>
          <w:p w:rsidR="00CA50CF" w:rsidRPr="00CA50CF" w:rsidRDefault="005226D1" w:rsidP="00CA50CF">
            <w:pPr>
              <w:pStyle w:val="bodytext"/>
              <w:spacing w:before="120"/>
              <w:jc w:val="left"/>
            </w:pPr>
            <w:r w:rsidRPr="005226D1">
              <w:t xml:space="preserve">The council identifies goals for the State Historical Marker Program and evaluates proposals for historical markers to be placed </w:t>
            </w:r>
            <w:proofErr w:type="spellStart"/>
            <w:r w:rsidRPr="005226D1">
              <w:t>ut</w:t>
            </w:r>
            <w:proofErr w:type="spellEnd"/>
            <w:r w:rsidRPr="005226D1">
              <w:t xml:space="preserve"> Florida</w:t>
            </w:r>
            <w:r>
              <w:t>.</w:t>
            </w:r>
          </w:p>
          <w:p w:rsidR="00CA50CF" w:rsidRPr="003B3E72" w:rsidRDefault="00CA50CF" w:rsidP="00CA50CF">
            <w:pPr>
              <w:pStyle w:val="bodytext"/>
              <w:jc w:val="left"/>
              <w:rPr>
                <w:rFonts w:ascii="Arial Black" w:hAnsi="Arial Black"/>
                <w:b/>
                <w:i/>
                <w:sz w:val="24"/>
                <w:szCs w:val="24"/>
              </w:rPr>
            </w:pPr>
            <w:r w:rsidRPr="00CA50CF">
              <w:rPr>
                <w:rStyle w:val="Emphasis"/>
                <w:sz w:val="20"/>
              </w:rPr>
              <w:t>Recommendation</w:t>
            </w:r>
            <w:r>
              <w:rPr>
                <w:rStyle w:val="Emphasis"/>
                <w:i/>
                <w:sz w:val="20"/>
              </w:rPr>
              <w:t xml:space="preserve"> </w:t>
            </w:r>
          </w:p>
          <w:p w:rsidR="003B3E72" w:rsidRPr="00CA50CF" w:rsidRDefault="00CA50CF" w:rsidP="00EC0C97">
            <w:pPr>
              <w:pStyle w:val="bodytext"/>
              <w:spacing w:before="120"/>
              <w:jc w:val="left"/>
              <w:rPr>
                <w:rFonts w:ascii="Swis721 Cn BT" w:hAnsi="Swis721 Cn BT"/>
                <w:sz w:val="18"/>
                <w:szCs w:val="18"/>
              </w:rPr>
            </w:pPr>
            <w:r w:rsidRPr="00CA50CF">
              <w:t>Abolish</w:t>
            </w:r>
            <w:r w:rsidR="005226D1">
              <w:t xml:space="preserve"> - </w:t>
            </w:r>
            <w:r w:rsidR="005226D1" w:rsidRPr="005226D1">
              <w:t>responsibilities assumed by the Florida Historical Commission</w:t>
            </w:r>
          </w:p>
        </w:tc>
      </w:tr>
      <w:tr w:rsidR="003B3E72" w:rsidTr="003B3E72">
        <w:tc>
          <w:tcPr>
            <w:tcW w:w="13986" w:type="dxa"/>
          </w:tcPr>
          <w:p w:rsidR="003B3E72" w:rsidRDefault="005226D1" w:rsidP="00EC0C97">
            <w:pPr>
              <w:pStyle w:val="bodytext"/>
              <w:spacing w:before="120"/>
              <w:jc w:val="left"/>
              <w:rPr>
                <w:rFonts w:ascii="Arial Black" w:hAnsi="Arial Black"/>
                <w:b/>
                <w:i/>
                <w:szCs w:val="22"/>
              </w:rPr>
            </w:pPr>
            <w:r w:rsidRPr="005226D1">
              <w:rPr>
                <w:rFonts w:ascii="Arial Black" w:hAnsi="Arial Black"/>
                <w:b/>
                <w:i/>
                <w:szCs w:val="22"/>
              </w:rPr>
              <w:t xml:space="preserve">Great Floridians Ad Hoc Selection Committee </w:t>
            </w:r>
          </w:p>
          <w:p w:rsidR="005226D1" w:rsidRPr="005226D1" w:rsidRDefault="005226D1" w:rsidP="00EC0C97">
            <w:pPr>
              <w:pStyle w:val="bodytext"/>
              <w:spacing w:before="120"/>
              <w:jc w:val="left"/>
            </w:pPr>
            <w:r w:rsidRPr="005226D1">
              <w:t>The Great Floridians Ad Hoc Selection Committee helps select individuals who have made contributions to the progress and welfare of the state for designation as a “Great Floridian.”</w:t>
            </w:r>
          </w:p>
          <w:p w:rsidR="005226D1" w:rsidRDefault="005226D1" w:rsidP="00EC0C97">
            <w:pPr>
              <w:pStyle w:val="bodytext"/>
              <w:spacing w:before="120"/>
              <w:jc w:val="left"/>
              <w:rPr>
                <w:rStyle w:val="Emphasis"/>
                <w:sz w:val="20"/>
              </w:rPr>
            </w:pPr>
            <w:r w:rsidRPr="00CA50CF">
              <w:rPr>
                <w:rStyle w:val="Emphasis"/>
                <w:sz w:val="20"/>
              </w:rPr>
              <w:t>Recommendation</w:t>
            </w:r>
          </w:p>
          <w:p w:rsidR="005226D1" w:rsidRDefault="005226D1" w:rsidP="00EC0C97">
            <w:pPr>
              <w:pStyle w:val="bodytext"/>
              <w:spacing w:before="120"/>
              <w:jc w:val="left"/>
              <w:rPr>
                <w:b/>
              </w:rPr>
            </w:pPr>
            <w:r w:rsidRPr="00CA50CF">
              <w:t>Abolish</w:t>
            </w:r>
            <w:r>
              <w:t xml:space="preserve"> - </w:t>
            </w:r>
            <w:r w:rsidRPr="005226D1">
              <w:t>responsibilities assumed by the Florida Historical Commission</w:t>
            </w:r>
          </w:p>
        </w:tc>
      </w:tr>
      <w:tr w:rsidR="003B3E72" w:rsidTr="003B3E72">
        <w:tc>
          <w:tcPr>
            <w:tcW w:w="13986" w:type="dxa"/>
          </w:tcPr>
          <w:p w:rsidR="003B3E72" w:rsidRDefault="005226D1" w:rsidP="00EC0C97">
            <w:pPr>
              <w:pStyle w:val="bodytext"/>
              <w:spacing w:before="120"/>
              <w:jc w:val="left"/>
              <w:rPr>
                <w:rFonts w:ascii="Arial Black" w:hAnsi="Arial Black"/>
                <w:b/>
                <w:i/>
                <w:szCs w:val="22"/>
              </w:rPr>
            </w:pPr>
            <w:proofErr w:type="spellStart"/>
            <w:r w:rsidRPr="005226D1">
              <w:rPr>
                <w:rFonts w:ascii="Arial Black" w:hAnsi="Arial Black"/>
                <w:b/>
                <w:i/>
                <w:szCs w:val="22"/>
              </w:rPr>
              <w:t>Folklife</w:t>
            </w:r>
            <w:proofErr w:type="spellEnd"/>
            <w:r w:rsidRPr="005226D1">
              <w:rPr>
                <w:rFonts w:ascii="Arial Black" w:hAnsi="Arial Black"/>
                <w:b/>
                <w:i/>
                <w:szCs w:val="22"/>
              </w:rPr>
              <w:t xml:space="preserve"> Apprenticeship Ad Hoc Advisory Committee </w:t>
            </w:r>
          </w:p>
          <w:p w:rsidR="00AF7E82" w:rsidRDefault="005226D1" w:rsidP="00EC0C97">
            <w:pPr>
              <w:pStyle w:val="bodytext"/>
              <w:spacing w:before="120"/>
              <w:jc w:val="left"/>
            </w:pPr>
            <w:r w:rsidRPr="005226D1">
              <w:t xml:space="preserve">The </w:t>
            </w:r>
            <w:proofErr w:type="spellStart"/>
            <w:r w:rsidRPr="005226D1">
              <w:t>Folklife</w:t>
            </w:r>
            <w:proofErr w:type="spellEnd"/>
            <w:r w:rsidRPr="005226D1">
              <w:t xml:space="preserve"> Apprenticeship Ad Hoc Advisory Committee helps determine the teams of applicants (i.e., master artist and apprentice) selected to participate in the department’s federally funded </w:t>
            </w:r>
            <w:proofErr w:type="spellStart"/>
            <w:r w:rsidRPr="005226D1">
              <w:t>folklife</w:t>
            </w:r>
            <w:proofErr w:type="spellEnd"/>
            <w:r w:rsidRPr="005226D1">
              <w:t xml:space="preserve"> apprenticeship program</w:t>
            </w:r>
            <w:r w:rsidR="00AF7E82">
              <w:t>.</w:t>
            </w:r>
          </w:p>
          <w:p w:rsidR="005226D1" w:rsidRDefault="005226D1" w:rsidP="00EC0C97">
            <w:pPr>
              <w:pStyle w:val="bodytext"/>
              <w:spacing w:before="120"/>
              <w:jc w:val="left"/>
              <w:rPr>
                <w:rStyle w:val="Emphasis"/>
                <w:sz w:val="20"/>
              </w:rPr>
            </w:pPr>
            <w:r w:rsidRPr="00CA50CF">
              <w:rPr>
                <w:rStyle w:val="Emphasis"/>
                <w:sz w:val="20"/>
              </w:rPr>
              <w:t>Recommendation</w:t>
            </w:r>
          </w:p>
          <w:p w:rsidR="005226D1" w:rsidRDefault="005226D1" w:rsidP="00EC0C97">
            <w:pPr>
              <w:pStyle w:val="bodytext"/>
              <w:spacing w:before="120"/>
              <w:jc w:val="left"/>
              <w:rPr>
                <w:b/>
              </w:rPr>
            </w:pPr>
            <w:r w:rsidRPr="00CA50CF">
              <w:t>Abolish</w:t>
            </w:r>
            <w:r>
              <w:t xml:space="preserve"> - </w:t>
            </w:r>
            <w:r w:rsidRPr="005226D1">
              <w:t xml:space="preserve">responsibilities assumed by the Florida </w:t>
            </w:r>
            <w:proofErr w:type="spellStart"/>
            <w:r w:rsidRPr="005226D1">
              <w:t>Folklife</w:t>
            </w:r>
            <w:proofErr w:type="spellEnd"/>
            <w:r w:rsidRPr="005226D1">
              <w:t xml:space="preserve"> Council</w:t>
            </w:r>
          </w:p>
        </w:tc>
      </w:tr>
      <w:tr w:rsidR="005226D1" w:rsidTr="003B3E72">
        <w:tc>
          <w:tcPr>
            <w:tcW w:w="13986" w:type="dxa"/>
          </w:tcPr>
          <w:p w:rsidR="005226D1" w:rsidRDefault="005226D1" w:rsidP="005226D1">
            <w:pPr>
              <w:pStyle w:val="bodytext"/>
              <w:spacing w:before="120"/>
              <w:jc w:val="left"/>
              <w:rPr>
                <w:rFonts w:ascii="Arial Black" w:hAnsi="Arial Black"/>
                <w:b/>
                <w:i/>
                <w:szCs w:val="22"/>
              </w:rPr>
            </w:pPr>
            <w:r w:rsidRPr="005226D1">
              <w:rPr>
                <w:rFonts w:ascii="Arial Black" w:hAnsi="Arial Black"/>
                <w:b/>
                <w:i/>
                <w:szCs w:val="22"/>
              </w:rPr>
              <w:t xml:space="preserve">Florida Library Network Council </w:t>
            </w:r>
          </w:p>
          <w:p w:rsidR="005226D1" w:rsidRPr="005226D1" w:rsidRDefault="005226D1" w:rsidP="005226D1">
            <w:pPr>
              <w:pStyle w:val="bodytext"/>
              <w:spacing w:before="120"/>
              <w:jc w:val="left"/>
            </w:pPr>
            <w:r w:rsidRPr="005226D1">
              <w:t>The Florida Library Network Council is one of the entities that provide the department with advice regarding interlibrary cooperation, library network development, and oversight of the department’s Florida Electronic Library Program</w:t>
            </w:r>
            <w:r>
              <w:t>.</w:t>
            </w:r>
          </w:p>
          <w:p w:rsidR="005226D1" w:rsidRDefault="005226D1" w:rsidP="005226D1">
            <w:pPr>
              <w:pStyle w:val="bodytext"/>
              <w:spacing w:before="120"/>
              <w:jc w:val="left"/>
              <w:rPr>
                <w:rStyle w:val="Emphasis"/>
                <w:sz w:val="20"/>
              </w:rPr>
            </w:pPr>
            <w:r w:rsidRPr="00CA50CF">
              <w:rPr>
                <w:rStyle w:val="Emphasis"/>
                <w:sz w:val="20"/>
              </w:rPr>
              <w:t>Recommendation</w:t>
            </w:r>
          </w:p>
          <w:p w:rsidR="005226D1" w:rsidRPr="005226D1" w:rsidRDefault="005226D1" w:rsidP="005226D1">
            <w:pPr>
              <w:pStyle w:val="bodytext"/>
              <w:spacing w:before="120"/>
              <w:jc w:val="left"/>
              <w:rPr>
                <w:rFonts w:ascii="Arial Black" w:hAnsi="Arial Black"/>
                <w:b/>
                <w:i/>
                <w:szCs w:val="22"/>
              </w:rPr>
            </w:pPr>
            <w:r w:rsidRPr="00CA50CF">
              <w:t>Abolish</w:t>
            </w:r>
            <w:r>
              <w:t xml:space="preserve"> - </w:t>
            </w:r>
            <w:r w:rsidRPr="005226D1">
              <w:t>responsibilities assumed by the Library Information Services Council</w:t>
            </w:r>
          </w:p>
        </w:tc>
      </w:tr>
    </w:tbl>
    <w:p w:rsidR="008C4C90" w:rsidRDefault="008C4C90" w:rsidP="00AF7E82">
      <w:pPr>
        <w:pStyle w:val="bodytext"/>
        <w:spacing w:before="120"/>
        <w:jc w:val="left"/>
        <w:rPr>
          <w:b/>
        </w:rPr>
      </w:pPr>
    </w:p>
    <w:sectPr w:rsidR="008C4C90" w:rsidSect="005C7BE0">
      <w:pgSz w:w="15840" w:h="12240" w:orient="landscape"/>
      <w:pgMar w:top="630" w:right="990" w:bottom="63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7C8" w:rsidRDefault="00A447C8" w:rsidP="00CF3C9F">
      <w:r>
        <w:separator/>
      </w:r>
    </w:p>
  </w:endnote>
  <w:endnote w:type="continuationSeparator" w:id="0">
    <w:p w:rsidR="00A447C8" w:rsidRDefault="00A447C8" w:rsidP="00CF3C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ZapfCalligr BT">
    <w:altName w:val="Palatino Linotype"/>
    <w:charset w:val="00"/>
    <w:family w:val="roman"/>
    <w:pitch w:val="variable"/>
    <w:sig w:usb0="00000087" w:usb1="00000000" w:usb2="00000000" w:usb3="00000000" w:csb0="0000001B"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wis721 Cn B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7C8" w:rsidRDefault="00A447C8" w:rsidP="00CF3C9F">
      <w:r>
        <w:separator/>
      </w:r>
    </w:p>
  </w:footnote>
  <w:footnote w:type="continuationSeparator" w:id="0">
    <w:p w:rsidR="00A447C8" w:rsidRDefault="00A447C8" w:rsidP="00CF3C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3017D"/>
    <w:multiLevelType w:val="hybridMultilevel"/>
    <w:tmpl w:val="B1E0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07823"/>
    <w:multiLevelType w:val="hybridMultilevel"/>
    <w:tmpl w:val="6590C97C"/>
    <w:lvl w:ilvl="0" w:tplc="E2AA17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EC6499"/>
    <w:multiLevelType w:val="hybridMultilevel"/>
    <w:tmpl w:val="A4C806CC"/>
    <w:lvl w:ilvl="0" w:tplc="FE50E890">
      <w:start w:val="1"/>
      <w:numFmt w:val="decimal"/>
      <w:lvlText w:val="%1)"/>
      <w:lvlJc w:val="left"/>
      <w:pPr>
        <w:ind w:left="522" w:hanging="360"/>
      </w:pPr>
      <w:rPr>
        <w:rFonts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
    <w:nsid w:val="2DD3315C"/>
    <w:multiLevelType w:val="hybridMultilevel"/>
    <w:tmpl w:val="40EC2B4A"/>
    <w:lvl w:ilvl="0" w:tplc="67FCC168">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3EB02C26"/>
    <w:multiLevelType w:val="hybridMultilevel"/>
    <w:tmpl w:val="EDA0BE0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4850662A"/>
    <w:multiLevelType w:val="hybridMultilevel"/>
    <w:tmpl w:val="4AB206D4"/>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1857629"/>
    <w:multiLevelType w:val="hybridMultilevel"/>
    <w:tmpl w:val="B3B00444"/>
    <w:lvl w:ilvl="0" w:tplc="04090017">
      <w:start w:val="1"/>
      <w:numFmt w:val="low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6DCE3E54"/>
    <w:multiLevelType w:val="hybridMultilevel"/>
    <w:tmpl w:val="CD1C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D1171"/>
    <w:rsid w:val="0000172E"/>
    <w:rsid w:val="00002E4F"/>
    <w:rsid w:val="00002F72"/>
    <w:rsid w:val="0000332D"/>
    <w:rsid w:val="00003372"/>
    <w:rsid w:val="00003C2C"/>
    <w:rsid w:val="00004DBE"/>
    <w:rsid w:val="00010211"/>
    <w:rsid w:val="00012873"/>
    <w:rsid w:val="00016434"/>
    <w:rsid w:val="00020760"/>
    <w:rsid w:val="000217D2"/>
    <w:rsid w:val="00022983"/>
    <w:rsid w:val="000263FB"/>
    <w:rsid w:val="0002729A"/>
    <w:rsid w:val="000309F8"/>
    <w:rsid w:val="0003203B"/>
    <w:rsid w:val="00033DE3"/>
    <w:rsid w:val="000349DE"/>
    <w:rsid w:val="0004012A"/>
    <w:rsid w:val="00042187"/>
    <w:rsid w:val="000445A8"/>
    <w:rsid w:val="00051035"/>
    <w:rsid w:val="0005153C"/>
    <w:rsid w:val="00052719"/>
    <w:rsid w:val="000527B8"/>
    <w:rsid w:val="00053C5A"/>
    <w:rsid w:val="00055EE3"/>
    <w:rsid w:val="0006206A"/>
    <w:rsid w:val="00062440"/>
    <w:rsid w:val="000632E6"/>
    <w:rsid w:val="0006344B"/>
    <w:rsid w:val="00065232"/>
    <w:rsid w:val="0006759D"/>
    <w:rsid w:val="00067B64"/>
    <w:rsid w:val="0007151E"/>
    <w:rsid w:val="000734D5"/>
    <w:rsid w:val="0007549F"/>
    <w:rsid w:val="00077481"/>
    <w:rsid w:val="00083509"/>
    <w:rsid w:val="000842BE"/>
    <w:rsid w:val="00084619"/>
    <w:rsid w:val="000872EA"/>
    <w:rsid w:val="0009081E"/>
    <w:rsid w:val="000910D8"/>
    <w:rsid w:val="000924B4"/>
    <w:rsid w:val="00093315"/>
    <w:rsid w:val="000A3D5D"/>
    <w:rsid w:val="000A7792"/>
    <w:rsid w:val="000A7820"/>
    <w:rsid w:val="000B02F1"/>
    <w:rsid w:val="000B2CDB"/>
    <w:rsid w:val="000B48F8"/>
    <w:rsid w:val="000B4991"/>
    <w:rsid w:val="000C2E7B"/>
    <w:rsid w:val="000C3515"/>
    <w:rsid w:val="000C414F"/>
    <w:rsid w:val="000C4BBA"/>
    <w:rsid w:val="000C56B7"/>
    <w:rsid w:val="000C61FD"/>
    <w:rsid w:val="000D138B"/>
    <w:rsid w:val="000D1547"/>
    <w:rsid w:val="000D1A0D"/>
    <w:rsid w:val="000D4B13"/>
    <w:rsid w:val="000D62E6"/>
    <w:rsid w:val="000D6AE7"/>
    <w:rsid w:val="000E0CEA"/>
    <w:rsid w:val="000E31DB"/>
    <w:rsid w:val="000E4D53"/>
    <w:rsid w:val="000F0AA3"/>
    <w:rsid w:val="000F1430"/>
    <w:rsid w:val="000F391D"/>
    <w:rsid w:val="000F46A5"/>
    <w:rsid w:val="00100D66"/>
    <w:rsid w:val="001014C2"/>
    <w:rsid w:val="00103354"/>
    <w:rsid w:val="0010339B"/>
    <w:rsid w:val="0010393A"/>
    <w:rsid w:val="00110700"/>
    <w:rsid w:val="00112053"/>
    <w:rsid w:val="00121E09"/>
    <w:rsid w:val="0013319F"/>
    <w:rsid w:val="00133C8E"/>
    <w:rsid w:val="001354A4"/>
    <w:rsid w:val="00136BAA"/>
    <w:rsid w:val="001418D2"/>
    <w:rsid w:val="00142808"/>
    <w:rsid w:val="00143AEC"/>
    <w:rsid w:val="0014538B"/>
    <w:rsid w:val="00146466"/>
    <w:rsid w:val="00147D09"/>
    <w:rsid w:val="001569DF"/>
    <w:rsid w:val="0015787D"/>
    <w:rsid w:val="00160C23"/>
    <w:rsid w:val="001612CD"/>
    <w:rsid w:val="001614BC"/>
    <w:rsid w:val="001619A1"/>
    <w:rsid w:val="00161E36"/>
    <w:rsid w:val="001661A9"/>
    <w:rsid w:val="0016688F"/>
    <w:rsid w:val="00170B44"/>
    <w:rsid w:val="001710ED"/>
    <w:rsid w:val="00174519"/>
    <w:rsid w:val="00175671"/>
    <w:rsid w:val="00180275"/>
    <w:rsid w:val="00180510"/>
    <w:rsid w:val="00182EF4"/>
    <w:rsid w:val="0019384E"/>
    <w:rsid w:val="001A0974"/>
    <w:rsid w:val="001A27B3"/>
    <w:rsid w:val="001A2903"/>
    <w:rsid w:val="001A29F6"/>
    <w:rsid w:val="001A72E3"/>
    <w:rsid w:val="001A7354"/>
    <w:rsid w:val="001A7B0A"/>
    <w:rsid w:val="001A7F28"/>
    <w:rsid w:val="001B3E83"/>
    <w:rsid w:val="001C1259"/>
    <w:rsid w:val="001C14B4"/>
    <w:rsid w:val="001C3B7A"/>
    <w:rsid w:val="001C3E30"/>
    <w:rsid w:val="001C555E"/>
    <w:rsid w:val="001C7C30"/>
    <w:rsid w:val="001C7EFA"/>
    <w:rsid w:val="001D129B"/>
    <w:rsid w:val="001E6032"/>
    <w:rsid w:val="001E7641"/>
    <w:rsid w:val="001E7A48"/>
    <w:rsid w:val="001F5589"/>
    <w:rsid w:val="002014F0"/>
    <w:rsid w:val="00205597"/>
    <w:rsid w:val="00207144"/>
    <w:rsid w:val="00207379"/>
    <w:rsid w:val="002079D3"/>
    <w:rsid w:val="00212207"/>
    <w:rsid w:val="00212878"/>
    <w:rsid w:val="0021673F"/>
    <w:rsid w:val="00221981"/>
    <w:rsid w:val="002223B9"/>
    <w:rsid w:val="002233DF"/>
    <w:rsid w:val="002245E7"/>
    <w:rsid w:val="00224F42"/>
    <w:rsid w:val="00225779"/>
    <w:rsid w:val="00233D4A"/>
    <w:rsid w:val="00234286"/>
    <w:rsid w:val="00234765"/>
    <w:rsid w:val="00234CA1"/>
    <w:rsid w:val="00234E2E"/>
    <w:rsid w:val="00237183"/>
    <w:rsid w:val="0023775E"/>
    <w:rsid w:val="00242514"/>
    <w:rsid w:val="0024276A"/>
    <w:rsid w:val="00250A4A"/>
    <w:rsid w:val="002528AC"/>
    <w:rsid w:val="00252C39"/>
    <w:rsid w:val="00253579"/>
    <w:rsid w:val="002539FC"/>
    <w:rsid w:val="00253E83"/>
    <w:rsid w:val="00254326"/>
    <w:rsid w:val="002561E4"/>
    <w:rsid w:val="0026246A"/>
    <w:rsid w:val="00263A4B"/>
    <w:rsid w:val="002642D2"/>
    <w:rsid w:val="00264B4D"/>
    <w:rsid w:val="00264D62"/>
    <w:rsid w:val="00264FBD"/>
    <w:rsid w:val="00266108"/>
    <w:rsid w:val="00267EDF"/>
    <w:rsid w:val="00270F21"/>
    <w:rsid w:val="00271F75"/>
    <w:rsid w:val="00280442"/>
    <w:rsid w:val="002816A7"/>
    <w:rsid w:val="00283195"/>
    <w:rsid w:val="00285A42"/>
    <w:rsid w:val="00287A30"/>
    <w:rsid w:val="00292795"/>
    <w:rsid w:val="00294C75"/>
    <w:rsid w:val="00295EF6"/>
    <w:rsid w:val="002967C5"/>
    <w:rsid w:val="0029731B"/>
    <w:rsid w:val="0029752E"/>
    <w:rsid w:val="002A1C05"/>
    <w:rsid w:val="002A1DB3"/>
    <w:rsid w:val="002A2B7F"/>
    <w:rsid w:val="002A4098"/>
    <w:rsid w:val="002B0C66"/>
    <w:rsid w:val="002B18A1"/>
    <w:rsid w:val="002B1AD4"/>
    <w:rsid w:val="002B4DE9"/>
    <w:rsid w:val="002C032E"/>
    <w:rsid w:val="002C4957"/>
    <w:rsid w:val="002C72A4"/>
    <w:rsid w:val="002D082F"/>
    <w:rsid w:val="002D3503"/>
    <w:rsid w:val="002D79C7"/>
    <w:rsid w:val="002E0D51"/>
    <w:rsid w:val="002E2FCE"/>
    <w:rsid w:val="002E47D2"/>
    <w:rsid w:val="002E682C"/>
    <w:rsid w:val="002E6DDF"/>
    <w:rsid w:val="002E7095"/>
    <w:rsid w:val="002E76CC"/>
    <w:rsid w:val="002F24F5"/>
    <w:rsid w:val="002F29C7"/>
    <w:rsid w:val="002F48BD"/>
    <w:rsid w:val="002F6459"/>
    <w:rsid w:val="002F65A6"/>
    <w:rsid w:val="0030224F"/>
    <w:rsid w:val="00312510"/>
    <w:rsid w:val="00316A7E"/>
    <w:rsid w:val="00322CEA"/>
    <w:rsid w:val="00323073"/>
    <w:rsid w:val="003251A2"/>
    <w:rsid w:val="00325B5B"/>
    <w:rsid w:val="00326424"/>
    <w:rsid w:val="003309C5"/>
    <w:rsid w:val="00331B52"/>
    <w:rsid w:val="00333AB4"/>
    <w:rsid w:val="003354B6"/>
    <w:rsid w:val="00337EAE"/>
    <w:rsid w:val="0034742B"/>
    <w:rsid w:val="00351CF2"/>
    <w:rsid w:val="00351DE6"/>
    <w:rsid w:val="0035487D"/>
    <w:rsid w:val="003563A4"/>
    <w:rsid w:val="00361DAE"/>
    <w:rsid w:val="00362051"/>
    <w:rsid w:val="0036430E"/>
    <w:rsid w:val="00365163"/>
    <w:rsid w:val="0036781F"/>
    <w:rsid w:val="00370297"/>
    <w:rsid w:val="00370665"/>
    <w:rsid w:val="00370E96"/>
    <w:rsid w:val="00371892"/>
    <w:rsid w:val="00372492"/>
    <w:rsid w:val="003830CC"/>
    <w:rsid w:val="00383A82"/>
    <w:rsid w:val="00384591"/>
    <w:rsid w:val="00385A3D"/>
    <w:rsid w:val="00391701"/>
    <w:rsid w:val="00393B54"/>
    <w:rsid w:val="00395400"/>
    <w:rsid w:val="00395538"/>
    <w:rsid w:val="003A0259"/>
    <w:rsid w:val="003A7619"/>
    <w:rsid w:val="003B0C50"/>
    <w:rsid w:val="003B1D13"/>
    <w:rsid w:val="003B3BF2"/>
    <w:rsid w:val="003B3E72"/>
    <w:rsid w:val="003B45B1"/>
    <w:rsid w:val="003B508B"/>
    <w:rsid w:val="003B6FC2"/>
    <w:rsid w:val="003C2FD0"/>
    <w:rsid w:val="003C6BC1"/>
    <w:rsid w:val="003D0151"/>
    <w:rsid w:val="003D153F"/>
    <w:rsid w:val="003D2074"/>
    <w:rsid w:val="003D2935"/>
    <w:rsid w:val="003D5DB2"/>
    <w:rsid w:val="003D615A"/>
    <w:rsid w:val="003E5593"/>
    <w:rsid w:val="003E57B0"/>
    <w:rsid w:val="003E5F6B"/>
    <w:rsid w:val="003E6079"/>
    <w:rsid w:val="003E7CD9"/>
    <w:rsid w:val="003F0E08"/>
    <w:rsid w:val="003F3062"/>
    <w:rsid w:val="003F3417"/>
    <w:rsid w:val="003F39D6"/>
    <w:rsid w:val="003F3B7E"/>
    <w:rsid w:val="003F52C0"/>
    <w:rsid w:val="00401384"/>
    <w:rsid w:val="00404249"/>
    <w:rsid w:val="0040439D"/>
    <w:rsid w:val="0040512E"/>
    <w:rsid w:val="004215CA"/>
    <w:rsid w:val="00425AF7"/>
    <w:rsid w:val="00426D38"/>
    <w:rsid w:val="0042729D"/>
    <w:rsid w:val="00431092"/>
    <w:rsid w:val="00435208"/>
    <w:rsid w:val="004372D1"/>
    <w:rsid w:val="00437DD6"/>
    <w:rsid w:val="004409AE"/>
    <w:rsid w:val="00442AC9"/>
    <w:rsid w:val="00446F85"/>
    <w:rsid w:val="00450D03"/>
    <w:rsid w:val="004553B1"/>
    <w:rsid w:val="00455FE0"/>
    <w:rsid w:val="004567AC"/>
    <w:rsid w:val="00457C5D"/>
    <w:rsid w:val="0046178F"/>
    <w:rsid w:val="0046461E"/>
    <w:rsid w:val="00465EAD"/>
    <w:rsid w:val="0046661A"/>
    <w:rsid w:val="0047419B"/>
    <w:rsid w:val="00475CEC"/>
    <w:rsid w:val="00483ED9"/>
    <w:rsid w:val="0048537A"/>
    <w:rsid w:val="0048574A"/>
    <w:rsid w:val="00485FD3"/>
    <w:rsid w:val="00491DF1"/>
    <w:rsid w:val="00492A6C"/>
    <w:rsid w:val="00494C0C"/>
    <w:rsid w:val="00495253"/>
    <w:rsid w:val="00496456"/>
    <w:rsid w:val="00496662"/>
    <w:rsid w:val="00497116"/>
    <w:rsid w:val="004A06B8"/>
    <w:rsid w:val="004A1B7D"/>
    <w:rsid w:val="004A2DCF"/>
    <w:rsid w:val="004A2EAB"/>
    <w:rsid w:val="004A3975"/>
    <w:rsid w:val="004B3039"/>
    <w:rsid w:val="004B512A"/>
    <w:rsid w:val="004B7CF3"/>
    <w:rsid w:val="004C151F"/>
    <w:rsid w:val="004C1662"/>
    <w:rsid w:val="004C2594"/>
    <w:rsid w:val="004C3FF2"/>
    <w:rsid w:val="004C5E7C"/>
    <w:rsid w:val="004C6282"/>
    <w:rsid w:val="004D0E18"/>
    <w:rsid w:val="004D0FA1"/>
    <w:rsid w:val="004E5C85"/>
    <w:rsid w:val="004F059A"/>
    <w:rsid w:val="004F127D"/>
    <w:rsid w:val="004F2049"/>
    <w:rsid w:val="004F5B8E"/>
    <w:rsid w:val="004F5FD7"/>
    <w:rsid w:val="004F6CCD"/>
    <w:rsid w:val="00501036"/>
    <w:rsid w:val="00504687"/>
    <w:rsid w:val="00505F4D"/>
    <w:rsid w:val="0050788B"/>
    <w:rsid w:val="0051742E"/>
    <w:rsid w:val="00521A7E"/>
    <w:rsid w:val="005226D1"/>
    <w:rsid w:val="00522802"/>
    <w:rsid w:val="0052380A"/>
    <w:rsid w:val="00526518"/>
    <w:rsid w:val="0052661C"/>
    <w:rsid w:val="00527DE9"/>
    <w:rsid w:val="0053333B"/>
    <w:rsid w:val="0053445B"/>
    <w:rsid w:val="0053574B"/>
    <w:rsid w:val="005358AE"/>
    <w:rsid w:val="005414B0"/>
    <w:rsid w:val="00542001"/>
    <w:rsid w:val="0054378D"/>
    <w:rsid w:val="00543C0E"/>
    <w:rsid w:val="005441E8"/>
    <w:rsid w:val="005472F4"/>
    <w:rsid w:val="00550165"/>
    <w:rsid w:val="00552A31"/>
    <w:rsid w:val="0055335A"/>
    <w:rsid w:val="00554EB7"/>
    <w:rsid w:val="005648BA"/>
    <w:rsid w:val="005676EB"/>
    <w:rsid w:val="00567DAB"/>
    <w:rsid w:val="0057088A"/>
    <w:rsid w:val="0057542F"/>
    <w:rsid w:val="00576C91"/>
    <w:rsid w:val="00581BD9"/>
    <w:rsid w:val="00582E4D"/>
    <w:rsid w:val="00583C77"/>
    <w:rsid w:val="00590884"/>
    <w:rsid w:val="00590A5E"/>
    <w:rsid w:val="00592537"/>
    <w:rsid w:val="00596F68"/>
    <w:rsid w:val="005A0F21"/>
    <w:rsid w:val="005A14A7"/>
    <w:rsid w:val="005A1577"/>
    <w:rsid w:val="005A214D"/>
    <w:rsid w:val="005A29E2"/>
    <w:rsid w:val="005A4E4A"/>
    <w:rsid w:val="005A5AFB"/>
    <w:rsid w:val="005A6014"/>
    <w:rsid w:val="005B0DF6"/>
    <w:rsid w:val="005B2CE3"/>
    <w:rsid w:val="005B6375"/>
    <w:rsid w:val="005C116D"/>
    <w:rsid w:val="005C2D5D"/>
    <w:rsid w:val="005C3A0B"/>
    <w:rsid w:val="005C4805"/>
    <w:rsid w:val="005C66ED"/>
    <w:rsid w:val="005C6D94"/>
    <w:rsid w:val="005C7BE0"/>
    <w:rsid w:val="005D0852"/>
    <w:rsid w:val="005D2B73"/>
    <w:rsid w:val="005D35B7"/>
    <w:rsid w:val="005D4C78"/>
    <w:rsid w:val="005E6D3C"/>
    <w:rsid w:val="005F2194"/>
    <w:rsid w:val="00600169"/>
    <w:rsid w:val="0060482C"/>
    <w:rsid w:val="006052F4"/>
    <w:rsid w:val="0060638E"/>
    <w:rsid w:val="00616F2F"/>
    <w:rsid w:val="00617983"/>
    <w:rsid w:val="00617E60"/>
    <w:rsid w:val="00621B25"/>
    <w:rsid w:val="006237D6"/>
    <w:rsid w:val="0062462F"/>
    <w:rsid w:val="006350E3"/>
    <w:rsid w:val="00640755"/>
    <w:rsid w:val="00642B5D"/>
    <w:rsid w:val="00646DC1"/>
    <w:rsid w:val="0064769D"/>
    <w:rsid w:val="006544B7"/>
    <w:rsid w:val="00654AD9"/>
    <w:rsid w:val="00654D26"/>
    <w:rsid w:val="00655D57"/>
    <w:rsid w:val="00657DCD"/>
    <w:rsid w:val="00660DA3"/>
    <w:rsid w:val="00661238"/>
    <w:rsid w:val="00664399"/>
    <w:rsid w:val="00664ABD"/>
    <w:rsid w:val="00672A48"/>
    <w:rsid w:val="00672A75"/>
    <w:rsid w:val="00684EC7"/>
    <w:rsid w:val="00685A2B"/>
    <w:rsid w:val="00686A77"/>
    <w:rsid w:val="00695329"/>
    <w:rsid w:val="00696AD2"/>
    <w:rsid w:val="00696FEB"/>
    <w:rsid w:val="00697BA7"/>
    <w:rsid w:val="006A03F7"/>
    <w:rsid w:val="006A084A"/>
    <w:rsid w:val="006A5111"/>
    <w:rsid w:val="006A7D0F"/>
    <w:rsid w:val="006B026A"/>
    <w:rsid w:val="006B308F"/>
    <w:rsid w:val="006B3C4F"/>
    <w:rsid w:val="006B4EBC"/>
    <w:rsid w:val="006B7323"/>
    <w:rsid w:val="006B742E"/>
    <w:rsid w:val="006C131E"/>
    <w:rsid w:val="006D3AC6"/>
    <w:rsid w:val="006D4CC4"/>
    <w:rsid w:val="006E1F77"/>
    <w:rsid w:val="006F15AB"/>
    <w:rsid w:val="006F238E"/>
    <w:rsid w:val="006F26DA"/>
    <w:rsid w:val="006F4A12"/>
    <w:rsid w:val="006F570D"/>
    <w:rsid w:val="006F5F11"/>
    <w:rsid w:val="00702957"/>
    <w:rsid w:val="00712948"/>
    <w:rsid w:val="00712B25"/>
    <w:rsid w:val="00714949"/>
    <w:rsid w:val="00714B20"/>
    <w:rsid w:val="00722A65"/>
    <w:rsid w:val="00725385"/>
    <w:rsid w:val="007254AF"/>
    <w:rsid w:val="007258D2"/>
    <w:rsid w:val="00725F52"/>
    <w:rsid w:val="007264A7"/>
    <w:rsid w:val="0072688A"/>
    <w:rsid w:val="007274CE"/>
    <w:rsid w:val="00733748"/>
    <w:rsid w:val="007432A6"/>
    <w:rsid w:val="00744C92"/>
    <w:rsid w:val="00746778"/>
    <w:rsid w:val="00746C78"/>
    <w:rsid w:val="007476EF"/>
    <w:rsid w:val="0074775D"/>
    <w:rsid w:val="007528D2"/>
    <w:rsid w:val="00753383"/>
    <w:rsid w:val="0075440C"/>
    <w:rsid w:val="00755514"/>
    <w:rsid w:val="00756BAB"/>
    <w:rsid w:val="00757B8F"/>
    <w:rsid w:val="00757F43"/>
    <w:rsid w:val="00761CEE"/>
    <w:rsid w:val="00767833"/>
    <w:rsid w:val="00767AC8"/>
    <w:rsid w:val="007710E7"/>
    <w:rsid w:val="007711DE"/>
    <w:rsid w:val="00773931"/>
    <w:rsid w:val="00775045"/>
    <w:rsid w:val="007754C9"/>
    <w:rsid w:val="00780A74"/>
    <w:rsid w:val="007817B5"/>
    <w:rsid w:val="00782C47"/>
    <w:rsid w:val="00783922"/>
    <w:rsid w:val="00787472"/>
    <w:rsid w:val="00792A05"/>
    <w:rsid w:val="00794513"/>
    <w:rsid w:val="0079572F"/>
    <w:rsid w:val="00795CD1"/>
    <w:rsid w:val="007A1022"/>
    <w:rsid w:val="007A28CA"/>
    <w:rsid w:val="007A4424"/>
    <w:rsid w:val="007A60E3"/>
    <w:rsid w:val="007A644C"/>
    <w:rsid w:val="007A7EB8"/>
    <w:rsid w:val="007B39B5"/>
    <w:rsid w:val="007B46E2"/>
    <w:rsid w:val="007B518A"/>
    <w:rsid w:val="007B7F5F"/>
    <w:rsid w:val="007C1877"/>
    <w:rsid w:val="007C4BE8"/>
    <w:rsid w:val="007C590A"/>
    <w:rsid w:val="007C5A09"/>
    <w:rsid w:val="007D057B"/>
    <w:rsid w:val="007D4B36"/>
    <w:rsid w:val="007D7B42"/>
    <w:rsid w:val="007E009E"/>
    <w:rsid w:val="007E1D5A"/>
    <w:rsid w:val="007F2694"/>
    <w:rsid w:val="007F2CC3"/>
    <w:rsid w:val="007F3DDB"/>
    <w:rsid w:val="00800E8C"/>
    <w:rsid w:val="00802D79"/>
    <w:rsid w:val="00810E81"/>
    <w:rsid w:val="00811211"/>
    <w:rsid w:val="00811606"/>
    <w:rsid w:val="0081252B"/>
    <w:rsid w:val="00812DCB"/>
    <w:rsid w:val="008158CD"/>
    <w:rsid w:val="00817051"/>
    <w:rsid w:val="00827B64"/>
    <w:rsid w:val="008304CD"/>
    <w:rsid w:val="0083652D"/>
    <w:rsid w:val="00837E57"/>
    <w:rsid w:val="00844A41"/>
    <w:rsid w:val="00850E3E"/>
    <w:rsid w:val="00852502"/>
    <w:rsid w:val="00862E37"/>
    <w:rsid w:val="008700CC"/>
    <w:rsid w:val="00871BE2"/>
    <w:rsid w:val="008736D0"/>
    <w:rsid w:val="00874187"/>
    <w:rsid w:val="00882C82"/>
    <w:rsid w:val="0088397A"/>
    <w:rsid w:val="0088501B"/>
    <w:rsid w:val="00890374"/>
    <w:rsid w:val="008A0A35"/>
    <w:rsid w:val="008A4152"/>
    <w:rsid w:val="008B0A88"/>
    <w:rsid w:val="008B221D"/>
    <w:rsid w:val="008B2342"/>
    <w:rsid w:val="008B3094"/>
    <w:rsid w:val="008B37B9"/>
    <w:rsid w:val="008B4A8C"/>
    <w:rsid w:val="008B4DAB"/>
    <w:rsid w:val="008B50DF"/>
    <w:rsid w:val="008B5C4D"/>
    <w:rsid w:val="008C02CA"/>
    <w:rsid w:val="008C032A"/>
    <w:rsid w:val="008C1C64"/>
    <w:rsid w:val="008C4C90"/>
    <w:rsid w:val="008C6E04"/>
    <w:rsid w:val="008C7A3F"/>
    <w:rsid w:val="008C7EA1"/>
    <w:rsid w:val="008D0CAE"/>
    <w:rsid w:val="008D2BF9"/>
    <w:rsid w:val="008D3D8C"/>
    <w:rsid w:val="008D410A"/>
    <w:rsid w:val="008D7B4D"/>
    <w:rsid w:val="008E0058"/>
    <w:rsid w:val="008E0FD1"/>
    <w:rsid w:val="008E15F3"/>
    <w:rsid w:val="008E1CE4"/>
    <w:rsid w:val="008E4A25"/>
    <w:rsid w:val="008E6A0C"/>
    <w:rsid w:val="008F0B2F"/>
    <w:rsid w:val="008F2420"/>
    <w:rsid w:val="008F3900"/>
    <w:rsid w:val="008F5713"/>
    <w:rsid w:val="008F592E"/>
    <w:rsid w:val="009036AA"/>
    <w:rsid w:val="00903E63"/>
    <w:rsid w:val="00904DAE"/>
    <w:rsid w:val="00912B5A"/>
    <w:rsid w:val="00913FD9"/>
    <w:rsid w:val="009153C2"/>
    <w:rsid w:val="009153E3"/>
    <w:rsid w:val="0091706C"/>
    <w:rsid w:val="0092059C"/>
    <w:rsid w:val="009210DF"/>
    <w:rsid w:val="009219A8"/>
    <w:rsid w:val="00922D83"/>
    <w:rsid w:val="00923D18"/>
    <w:rsid w:val="00925242"/>
    <w:rsid w:val="00925A89"/>
    <w:rsid w:val="00925DF1"/>
    <w:rsid w:val="009275D9"/>
    <w:rsid w:val="00935D20"/>
    <w:rsid w:val="0094085A"/>
    <w:rsid w:val="009463C6"/>
    <w:rsid w:val="00956262"/>
    <w:rsid w:val="00961297"/>
    <w:rsid w:val="0096220A"/>
    <w:rsid w:val="00963313"/>
    <w:rsid w:val="00963DFD"/>
    <w:rsid w:val="00970FBE"/>
    <w:rsid w:val="00973027"/>
    <w:rsid w:val="00976E17"/>
    <w:rsid w:val="009805C4"/>
    <w:rsid w:val="00983391"/>
    <w:rsid w:val="00987A3E"/>
    <w:rsid w:val="00991354"/>
    <w:rsid w:val="00997F80"/>
    <w:rsid w:val="009A069A"/>
    <w:rsid w:val="009A0C04"/>
    <w:rsid w:val="009A1EAB"/>
    <w:rsid w:val="009A214A"/>
    <w:rsid w:val="009A3903"/>
    <w:rsid w:val="009A4680"/>
    <w:rsid w:val="009A7E4C"/>
    <w:rsid w:val="009B2F22"/>
    <w:rsid w:val="009B53A6"/>
    <w:rsid w:val="009B678B"/>
    <w:rsid w:val="009C3F32"/>
    <w:rsid w:val="009C4739"/>
    <w:rsid w:val="009C54E2"/>
    <w:rsid w:val="009C5EDA"/>
    <w:rsid w:val="009C5F01"/>
    <w:rsid w:val="009C7F50"/>
    <w:rsid w:val="009D0684"/>
    <w:rsid w:val="009D2C8D"/>
    <w:rsid w:val="009D2EF8"/>
    <w:rsid w:val="009D4770"/>
    <w:rsid w:val="009E08D7"/>
    <w:rsid w:val="009E3967"/>
    <w:rsid w:val="009E4517"/>
    <w:rsid w:val="009E6A9A"/>
    <w:rsid w:val="009E7239"/>
    <w:rsid w:val="009F07FB"/>
    <w:rsid w:val="009F1075"/>
    <w:rsid w:val="009F386C"/>
    <w:rsid w:val="009F4F6C"/>
    <w:rsid w:val="009F5091"/>
    <w:rsid w:val="009F6F1C"/>
    <w:rsid w:val="00A019D0"/>
    <w:rsid w:val="00A042E8"/>
    <w:rsid w:val="00A1200E"/>
    <w:rsid w:val="00A129A7"/>
    <w:rsid w:val="00A14F7F"/>
    <w:rsid w:val="00A1700C"/>
    <w:rsid w:val="00A24AB6"/>
    <w:rsid w:val="00A30C45"/>
    <w:rsid w:val="00A31AB6"/>
    <w:rsid w:val="00A32D91"/>
    <w:rsid w:val="00A35ADB"/>
    <w:rsid w:val="00A35D99"/>
    <w:rsid w:val="00A417A8"/>
    <w:rsid w:val="00A41BBC"/>
    <w:rsid w:val="00A42096"/>
    <w:rsid w:val="00A43098"/>
    <w:rsid w:val="00A447C8"/>
    <w:rsid w:val="00A450D3"/>
    <w:rsid w:val="00A45BDB"/>
    <w:rsid w:val="00A46A04"/>
    <w:rsid w:val="00A533D0"/>
    <w:rsid w:val="00A55E83"/>
    <w:rsid w:val="00A645B8"/>
    <w:rsid w:val="00A65980"/>
    <w:rsid w:val="00A66477"/>
    <w:rsid w:val="00A673D6"/>
    <w:rsid w:val="00A71FBC"/>
    <w:rsid w:val="00A723AB"/>
    <w:rsid w:val="00A765D9"/>
    <w:rsid w:val="00A772C6"/>
    <w:rsid w:val="00A776FC"/>
    <w:rsid w:val="00A831AD"/>
    <w:rsid w:val="00A90E48"/>
    <w:rsid w:val="00A91A79"/>
    <w:rsid w:val="00A924D3"/>
    <w:rsid w:val="00A93720"/>
    <w:rsid w:val="00A972C8"/>
    <w:rsid w:val="00AA0629"/>
    <w:rsid w:val="00AA09E2"/>
    <w:rsid w:val="00AA5074"/>
    <w:rsid w:val="00AA6262"/>
    <w:rsid w:val="00AA66B3"/>
    <w:rsid w:val="00AA7A66"/>
    <w:rsid w:val="00AB733B"/>
    <w:rsid w:val="00AC0657"/>
    <w:rsid w:val="00AC1376"/>
    <w:rsid w:val="00AC21A8"/>
    <w:rsid w:val="00AC23E2"/>
    <w:rsid w:val="00AD0283"/>
    <w:rsid w:val="00AD08CE"/>
    <w:rsid w:val="00AD420E"/>
    <w:rsid w:val="00AD66ED"/>
    <w:rsid w:val="00AE0FC2"/>
    <w:rsid w:val="00AE6AD4"/>
    <w:rsid w:val="00AE7750"/>
    <w:rsid w:val="00AF0169"/>
    <w:rsid w:val="00AF1E2B"/>
    <w:rsid w:val="00AF2A5B"/>
    <w:rsid w:val="00AF645C"/>
    <w:rsid w:val="00AF6467"/>
    <w:rsid w:val="00AF7E82"/>
    <w:rsid w:val="00B00009"/>
    <w:rsid w:val="00B013FE"/>
    <w:rsid w:val="00B02E82"/>
    <w:rsid w:val="00B03F1D"/>
    <w:rsid w:val="00B05229"/>
    <w:rsid w:val="00B06707"/>
    <w:rsid w:val="00B11DA4"/>
    <w:rsid w:val="00B12D26"/>
    <w:rsid w:val="00B13B11"/>
    <w:rsid w:val="00B15841"/>
    <w:rsid w:val="00B15BD2"/>
    <w:rsid w:val="00B1663B"/>
    <w:rsid w:val="00B17B7B"/>
    <w:rsid w:val="00B17CE1"/>
    <w:rsid w:val="00B23CF6"/>
    <w:rsid w:val="00B2457B"/>
    <w:rsid w:val="00B25B25"/>
    <w:rsid w:val="00B30CA9"/>
    <w:rsid w:val="00B50C03"/>
    <w:rsid w:val="00B51CF0"/>
    <w:rsid w:val="00B53AFC"/>
    <w:rsid w:val="00B53B03"/>
    <w:rsid w:val="00B547D0"/>
    <w:rsid w:val="00B5607A"/>
    <w:rsid w:val="00B64A69"/>
    <w:rsid w:val="00B662AE"/>
    <w:rsid w:val="00B66DD7"/>
    <w:rsid w:val="00B66F60"/>
    <w:rsid w:val="00B67280"/>
    <w:rsid w:val="00B714E5"/>
    <w:rsid w:val="00B72B7D"/>
    <w:rsid w:val="00B7321D"/>
    <w:rsid w:val="00B80492"/>
    <w:rsid w:val="00B8131A"/>
    <w:rsid w:val="00B816A7"/>
    <w:rsid w:val="00B90E1D"/>
    <w:rsid w:val="00B91790"/>
    <w:rsid w:val="00B91BD3"/>
    <w:rsid w:val="00B92181"/>
    <w:rsid w:val="00B96C39"/>
    <w:rsid w:val="00B97C76"/>
    <w:rsid w:val="00BA1801"/>
    <w:rsid w:val="00BA684C"/>
    <w:rsid w:val="00BA7475"/>
    <w:rsid w:val="00BA75B4"/>
    <w:rsid w:val="00BB0E37"/>
    <w:rsid w:val="00BB190B"/>
    <w:rsid w:val="00BB292F"/>
    <w:rsid w:val="00BB31AD"/>
    <w:rsid w:val="00BB333D"/>
    <w:rsid w:val="00BB3578"/>
    <w:rsid w:val="00BB4577"/>
    <w:rsid w:val="00BC1693"/>
    <w:rsid w:val="00BC1A60"/>
    <w:rsid w:val="00BC38FE"/>
    <w:rsid w:val="00BC3A2D"/>
    <w:rsid w:val="00BC5899"/>
    <w:rsid w:val="00BC5CBA"/>
    <w:rsid w:val="00BC6155"/>
    <w:rsid w:val="00BC65F3"/>
    <w:rsid w:val="00BC6F0A"/>
    <w:rsid w:val="00BC79F9"/>
    <w:rsid w:val="00BD0DA7"/>
    <w:rsid w:val="00BD1A02"/>
    <w:rsid w:val="00BD6B52"/>
    <w:rsid w:val="00BD702C"/>
    <w:rsid w:val="00BE0268"/>
    <w:rsid w:val="00BE477B"/>
    <w:rsid w:val="00BE7EBF"/>
    <w:rsid w:val="00BF1017"/>
    <w:rsid w:val="00BF1615"/>
    <w:rsid w:val="00BF30DE"/>
    <w:rsid w:val="00BF5302"/>
    <w:rsid w:val="00BF654A"/>
    <w:rsid w:val="00BF7171"/>
    <w:rsid w:val="00C00C4E"/>
    <w:rsid w:val="00C02097"/>
    <w:rsid w:val="00C04CB8"/>
    <w:rsid w:val="00C0559F"/>
    <w:rsid w:val="00C0729D"/>
    <w:rsid w:val="00C073D4"/>
    <w:rsid w:val="00C074C8"/>
    <w:rsid w:val="00C10690"/>
    <w:rsid w:val="00C1277F"/>
    <w:rsid w:val="00C13815"/>
    <w:rsid w:val="00C23211"/>
    <w:rsid w:val="00C26BFC"/>
    <w:rsid w:val="00C275AD"/>
    <w:rsid w:val="00C27738"/>
    <w:rsid w:val="00C318F0"/>
    <w:rsid w:val="00C3260D"/>
    <w:rsid w:val="00C33440"/>
    <w:rsid w:val="00C33800"/>
    <w:rsid w:val="00C372A7"/>
    <w:rsid w:val="00C37A24"/>
    <w:rsid w:val="00C400E3"/>
    <w:rsid w:val="00C4183C"/>
    <w:rsid w:val="00C429CB"/>
    <w:rsid w:val="00C43241"/>
    <w:rsid w:val="00C453D4"/>
    <w:rsid w:val="00C51F27"/>
    <w:rsid w:val="00C57DAD"/>
    <w:rsid w:val="00C57F23"/>
    <w:rsid w:val="00C60FD4"/>
    <w:rsid w:val="00C630D0"/>
    <w:rsid w:val="00C656EE"/>
    <w:rsid w:val="00C656FD"/>
    <w:rsid w:val="00C67010"/>
    <w:rsid w:val="00C672B7"/>
    <w:rsid w:val="00C70287"/>
    <w:rsid w:val="00C73444"/>
    <w:rsid w:val="00C73F25"/>
    <w:rsid w:val="00C7544B"/>
    <w:rsid w:val="00C772B8"/>
    <w:rsid w:val="00C87851"/>
    <w:rsid w:val="00C904BF"/>
    <w:rsid w:val="00C91737"/>
    <w:rsid w:val="00C94941"/>
    <w:rsid w:val="00C949AC"/>
    <w:rsid w:val="00C94FF4"/>
    <w:rsid w:val="00CA0C56"/>
    <w:rsid w:val="00CA2490"/>
    <w:rsid w:val="00CA50CF"/>
    <w:rsid w:val="00CA581C"/>
    <w:rsid w:val="00CB217A"/>
    <w:rsid w:val="00CB3636"/>
    <w:rsid w:val="00CB5C30"/>
    <w:rsid w:val="00CB6842"/>
    <w:rsid w:val="00CB7DE7"/>
    <w:rsid w:val="00CC0994"/>
    <w:rsid w:val="00CC1120"/>
    <w:rsid w:val="00CC53A0"/>
    <w:rsid w:val="00CC5D18"/>
    <w:rsid w:val="00CD1171"/>
    <w:rsid w:val="00CD4883"/>
    <w:rsid w:val="00CD5A28"/>
    <w:rsid w:val="00CD5C83"/>
    <w:rsid w:val="00CD6EF6"/>
    <w:rsid w:val="00CD77F3"/>
    <w:rsid w:val="00CE4475"/>
    <w:rsid w:val="00CE71D2"/>
    <w:rsid w:val="00CE756C"/>
    <w:rsid w:val="00CF08BA"/>
    <w:rsid w:val="00CF3C9F"/>
    <w:rsid w:val="00CF4C0C"/>
    <w:rsid w:val="00CF62F2"/>
    <w:rsid w:val="00CF7CFD"/>
    <w:rsid w:val="00D041D8"/>
    <w:rsid w:val="00D12F01"/>
    <w:rsid w:val="00D17746"/>
    <w:rsid w:val="00D17CE5"/>
    <w:rsid w:val="00D2518D"/>
    <w:rsid w:val="00D26358"/>
    <w:rsid w:val="00D278A7"/>
    <w:rsid w:val="00D372CE"/>
    <w:rsid w:val="00D42879"/>
    <w:rsid w:val="00D4426E"/>
    <w:rsid w:val="00D459E9"/>
    <w:rsid w:val="00D46580"/>
    <w:rsid w:val="00D46C3E"/>
    <w:rsid w:val="00D541D4"/>
    <w:rsid w:val="00D544DA"/>
    <w:rsid w:val="00D55A15"/>
    <w:rsid w:val="00D55A17"/>
    <w:rsid w:val="00D56F04"/>
    <w:rsid w:val="00D61210"/>
    <w:rsid w:val="00D66A54"/>
    <w:rsid w:val="00D7295D"/>
    <w:rsid w:val="00D73828"/>
    <w:rsid w:val="00D74F7C"/>
    <w:rsid w:val="00D75FE8"/>
    <w:rsid w:val="00D7612D"/>
    <w:rsid w:val="00D7732A"/>
    <w:rsid w:val="00D815AA"/>
    <w:rsid w:val="00D84418"/>
    <w:rsid w:val="00D8796E"/>
    <w:rsid w:val="00D9169A"/>
    <w:rsid w:val="00D97450"/>
    <w:rsid w:val="00DA0830"/>
    <w:rsid w:val="00DA13FA"/>
    <w:rsid w:val="00DA1493"/>
    <w:rsid w:val="00DA3234"/>
    <w:rsid w:val="00DA4A3C"/>
    <w:rsid w:val="00DA5D23"/>
    <w:rsid w:val="00DB0D33"/>
    <w:rsid w:val="00DB13EF"/>
    <w:rsid w:val="00DB1532"/>
    <w:rsid w:val="00DB2210"/>
    <w:rsid w:val="00DB43F2"/>
    <w:rsid w:val="00DB4664"/>
    <w:rsid w:val="00DC0118"/>
    <w:rsid w:val="00DC719B"/>
    <w:rsid w:val="00DD0E39"/>
    <w:rsid w:val="00DD1271"/>
    <w:rsid w:val="00DD6374"/>
    <w:rsid w:val="00DD74A9"/>
    <w:rsid w:val="00DE0413"/>
    <w:rsid w:val="00DE2A05"/>
    <w:rsid w:val="00DE4006"/>
    <w:rsid w:val="00DE7C72"/>
    <w:rsid w:val="00DF7A0C"/>
    <w:rsid w:val="00E000AF"/>
    <w:rsid w:val="00E02155"/>
    <w:rsid w:val="00E0275B"/>
    <w:rsid w:val="00E02B5B"/>
    <w:rsid w:val="00E07AEE"/>
    <w:rsid w:val="00E123CF"/>
    <w:rsid w:val="00E12FD9"/>
    <w:rsid w:val="00E16BFB"/>
    <w:rsid w:val="00E2236F"/>
    <w:rsid w:val="00E23763"/>
    <w:rsid w:val="00E24D86"/>
    <w:rsid w:val="00E315D4"/>
    <w:rsid w:val="00E32ECD"/>
    <w:rsid w:val="00E343EA"/>
    <w:rsid w:val="00E3487D"/>
    <w:rsid w:val="00E364D9"/>
    <w:rsid w:val="00E408A5"/>
    <w:rsid w:val="00E43B92"/>
    <w:rsid w:val="00E456A3"/>
    <w:rsid w:val="00E46BBA"/>
    <w:rsid w:val="00E475BD"/>
    <w:rsid w:val="00E50271"/>
    <w:rsid w:val="00E505DC"/>
    <w:rsid w:val="00E52AB5"/>
    <w:rsid w:val="00E5325F"/>
    <w:rsid w:val="00E54A98"/>
    <w:rsid w:val="00E55009"/>
    <w:rsid w:val="00E6089B"/>
    <w:rsid w:val="00E63F8C"/>
    <w:rsid w:val="00E64524"/>
    <w:rsid w:val="00E660D1"/>
    <w:rsid w:val="00E67F86"/>
    <w:rsid w:val="00E70145"/>
    <w:rsid w:val="00E70A50"/>
    <w:rsid w:val="00E71999"/>
    <w:rsid w:val="00E81703"/>
    <w:rsid w:val="00E81710"/>
    <w:rsid w:val="00E84DA3"/>
    <w:rsid w:val="00E913E3"/>
    <w:rsid w:val="00E960E1"/>
    <w:rsid w:val="00EA12D2"/>
    <w:rsid w:val="00EA1311"/>
    <w:rsid w:val="00EA29E5"/>
    <w:rsid w:val="00EA36C0"/>
    <w:rsid w:val="00EA3902"/>
    <w:rsid w:val="00EB2F33"/>
    <w:rsid w:val="00EB44B2"/>
    <w:rsid w:val="00EB56A8"/>
    <w:rsid w:val="00EB5C90"/>
    <w:rsid w:val="00EB5E57"/>
    <w:rsid w:val="00EC0193"/>
    <w:rsid w:val="00EC0C97"/>
    <w:rsid w:val="00EC3F57"/>
    <w:rsid w:val="00EC7491"/>
    <w:rsid w:val="00ED017E"/>
    <w:rsid w:val="00ED5FC4"/>
    <w:rsid w:val="00EE1EFD"/>
    <w:rsid w:val="00EE5BBA"/>
    <w:rsid w:val="00EE7671"/>
    <w:rsid w:val="00EF32F1"/>
    <w:rsid w:val="00EF3D69"/>
    <w:rsid w:val="00EF58E0"/>
    <w:rsid w:val="00EF726B"/>
    <w:rsid w:val="00F000C3"/>
    <w:rsid w:val="00F02734"/>
    <w:rsid w:val="00F03631"/>
    <w:rsid w:val="00F03EB0"/>
    <w:rsid w:val="00F04F9D"/>
    <w:rsid w:val="00F15CC2"/>
    <w:rsid w:val="00F2047D"/>
    <w:rsid w:val="00F21827"/>
    <w:rsid w:val="00F22B51"/>
    <w:rsid w:val="00F239AA"/>
    <w:rsid w:val="00F32BC4"/>
    <w:rsid w:val="00F33665"/>
    <w:rsid w:val="00F34728"/>
    <w:rsid w:val="00F35FA4"/>
    <w:rsid w:val="00F4067B"/>
    <w:rsid w:val="00F50DF6"/>
    <w:rsid w:val="00F54DFF"/>
    <w:rsid w:val="00F55532"/>
    <w:rsid w:val="00F573A5"/>
    <w:rsid w:val="00F7116D"/>
    <w:rsid w:val="00F726C8"/>
    <w:rsid w:val="00F74763"/>
    <w:rsid w:val="00F750E5"/>
    <w:rsid w:val="00F7773C"/>
    <w:rsid w:val="00F80E24"/>
    <w:rsid w:val="00F8230F"/>
    <w:rsid w:val="00F84D5B"/>
    <w:rsid w:val="00F8622B"/>
    <w:rsid w:val="00F94A50"/>
    <w:rsid w:val="00FA055F"/>
    <w:rsid w:val="00FA2BB8"/>
    <w:rsid w:val="00FA388D"/>
    <w:rsid w:val="00FA3A25"/>
    <w:rsid w:val="00FA68D5"/>
    <w:rsid w:val="00FB056B"/>
    <w:rsid w:val="00FB4B80"/>
    <w:rsid w:val="00FB5BA4"/>
    <w:rsid w:val="00FB7AF5"/>
    <w:rsid w:val="00FC23E5"/>
    <w:rsid w:val="00FC3E21"/>
    <w:rsid w:val="00FC6342"/>
    <w:rsid w:val="00FC7570"/>
    <w:rsid w:val="00FD1AED"/>
    <w:rsid w:val="00FD3094"/>
    <w:rsid w:val="00FD3334"/>
    <w:rsid w:val="00FE0DF4"/>
    <w:rsid w:val="00FE0F2D"/>
    <w:rsid w:val="00FE2AB9"/>
    <w:rsid w:val="00FE686D"/>
    <w:rsid w:val="00FF262F"/>
    <w:rsid w:val="00FF5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8F0"/>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1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D1171"/>
    <w:pPr>
      <w:ind w:left="720"/>
      <w:contextualSpacing/>
    </w:pPr>
  </w:style>
  <w:style w:type="paragraph" w:styleId="BalloonText">
    <w:name w:val="Balloon Text"/>
    <w:basedOn w:val="Normal"/>
    <w:link w:val="BalloonTextChar"/>
    <w:uiPriority w:val="99"/>
    <w:semiHidden/>
    <w:unhideWhenUsed/>
    <w:rsid w:val="00DE4006"/>
    <w:rPr>
      <w:rFonts w:ascii="Tahoma" w:hAnsi="Tahoma" w:cs="Tahoma"/>
      <w:sz w:val="16"/>
      <w:szCs w:val="16"/>
    </w:rPr>
  </w:style>
  <w:style w:type="character" w:customStyle="1" w:styleId="BalloonTextChar">
    <w:name w:val="Balloon Text Char"/>
    <w:basedOn w:val="DefaultParagraphFont"/>
    <w:link w:val="BalloonText"/>
    <w:uiPriority w:val="99"/>
    <w:semiHidden/>
    <w:rsid w:val="00DE4006"/>
    <w:rPr>
      <w:rFonts w:ascii="Tahoma" w:hAnsi="Tahoma" w:cs="Tahoma"/>
      <w:sz w:val="16"/>
      <w:szCs w:val="16"/>
    </w:rPr>
  </w:style>
  <w:style w:type="paragraph" w:styleId="Header">
    <w:name w:val="header"/>
    <w:basedOn w:val="Normal"/>
    <w:link w:val="HeaderChar"/>
    <w:uiPriority w:val="99"/>
    <w:semiHidden/>
    <w:unhideWhenUsed/>
    <w:rsid w:val="00CF3C9F"/>
    <w:pPr>
      <w:tabs>
        <w:tab w:val="center" w:pos="4680"/>
        <w:tab w:val="right" w:pos="9360"/>
      </w:tabs>
    </w:pPr>
  </w:style>
  <w:style w:type="character" w:customStyle="1" w:styleId="HeaderChar">
    <w:name w:val="Header Char"/>
    <w:basedOn w:val="DefaultParagraphFont"/>
    <w:link w:val="Header"/>
    <w:uiPriority w:val="99"/>
    <w:semiHidden/>
    <w:rsid w:val="00CF3C9F"/>
    <w:rPr>
      <w:sz w:val="22"/>
      <w:szCs w:val="22"/>
    </w:rPr>
  </w:style>
  <w:style w:type="paragraph" w:styleId="Footer">
    <w:name w:val="footer"/>
    <w:basedOn w:val="Normal"/>
    <w:link w:val="FooterChar"/>
    <w:uiPriority w:val="99"/>
    <w:unhideWhenUsed/>
    <w:rsid w:val="00CF3C9F"/>
    <w:pPr>
      <w:tabs>
        <w:tab w:val="center" w:pos="4680"/>
        <w:tab w:val="right" w:pos="9360"/>
      </w:tabs>
    </w:pPr>
  </w:style>
  <w:style w:type="character" w:customStyle="1" w:styleId="FooterChar">
    <w:name w:val="Footer Char"/>
    <w:basedOn w:val="DefaultParagraphFont"/>
    <w:link w:val="Footer"/>
    <w:uiPriority w:val="99"/>
    <w:rsid w:val="00CF3C9F"/>
    <w:rPr>
      <w:sz w:val="22"/>
      <w:szCs w:val="22"/>
    </w:rPr>
  </w:style>
  <w:style w:type="paragraph" w:customStyle="1" w:styleId="bodytext">
    <w:name w:val="body text"/>
    <w:basedOn w:val="Normal"/>
    <w:link w:val="bodytextChar1"/>
    <w:rsid w:val="00EC0C97"/>
    <w:pPr>
      <w:tabs>
        <w:tab w:val="left" w:pos="9000"/>
      </w:tabs>
      <w:spacing w:after="120"/>
      <w:jc w:val="both"/>
    </w:pPr>
    <w:rPr>
      <w:rFonts w:ascii="ZapfCalligr BT" w:eastAsia="Times New Roman" w:hAnsi="ZapfCalligr BT"/>
      <w:szCs w:val="20"/>
    </w:rPr>
  </w:style>
  <w:style w:type="character" w:customStyle="1" w:styleId="bodytextChar1">
    <w:name w:val="body text Char1"/>
    <w:basedOn w:val="DefaultParagraphFont"/>
    <w:link w:val="bodytext"/>
    <w:rsid w:val="00EC0C97"/>
    <w:rPr>
      <w:rFonts w:ascii="ZapfCalligr BT" w:eastAsia="Times New Roman" w:hAnsi="ZapfCalligr BT"/>
      <w:sz w:val="22"/>
    </w:rPr>
  </w:style>
  <w:style w:type="character" w:styleId="Emphasis">
    <w:name w:val="Emphasis"/>
    <w:qFormat/>
    <w:rsid w:val="008C4C90"/>
    <w:rPr>
      <w:rFonts w:ascii="Arial Black" w:hAnsi="Arial Black"/>
      <w:sz w:val="18"/>
    </w:rPr>
  </w:style>
  <w:style w:type="paragraph" w:styleId="FootnoteText">
    <w:name w:val="footnote text"/>
    <w:basedOn w:val="Normal"/>
    <w:link w:val="FootnoteTextChar"/>
    <w:uiPriority w:val="99"/>
    <w:semiHidden/>
    <w:unhideWhenUsed/>
    <w:rsid w:val="00A447C8"/>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semiHidden/>
    <w:rsid w:val="00A447C8"/>
    <w:rPr>
      <w:rFonts w:ascii="Times New Roman" w:eastAsiaTheme="minorHAnsi" w:hAnsi="Times New Roman" w:cstheme="minorBidi"/>
    </w:rPr>
  </w:style>
  <w:style w:type="character" w:styleId="FootnoteReference">
    <w:name w:val="footnote reference"/>
    <w:basedOn w:val="DefaultParagraphFont"/>
    <w:uiPriority w:val="99"/>
    <w:semiHidden/>
    <w:unhideWhenUsed/>
    <w:rsid w:val="00A447C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40975-109C-49C6-BE42-F08B2EF1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Florida House of Representatives</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cochran.margaret</dc:creator>
  <cp:keywords/>
  <dc:description/>
  <cp:lastModifiedBy>FRANCIS.DAVID</cp:lastModifiedBy>
  <cp:revision>12</cp:revision>
  <cp:lastPrinted>2010-02-11T14:18:00Z</cp:lastPrinted>
  <dcterms:created xsi:type="dcterms:W3CDTF">2010-02-09T20:24:00Z</dcterms:created>
  <dcterms:modified xsi:type="dcterms:W3CDTF">2010-02-15T18:12:00Z</dcterms:modified>
</cp:coreProperties>
</file>