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276DFA" w:rsidRPr="009A10F2" w:rsidTr="00A603A9">
        <w:trPr>
          <w:cantSplit/>
        </w:trPr>
        <w:tc>
          <w:tcPr>
            <w:tcW w:w="5000" w:type="pct"/>
            <w:gridSpan w:val="3"/>
            <w:tcBorders>
              <w:bottom w:val="single" w:sz="4" w:space="0" w:color="auto"/>
            </w:tcBorders>
            <w:shd w:val="clear" w:color="auto" w:fill="BFBFBF" w:themeFill="background1" w:themeFillShade="BF"/>
          </w:tcPr>
          <w:p w:rsidR="00276DFA" w:rsidRPr="009A10F2" w:rsidRDefault="000E67BF" w:rsidP="00381AAC">
            <w:pPr>
              <w:spacing w:beforeLines="60" w:afterLines="60"/>
              <w:jc w:val="center"/>
              <w:rPr>
                <w:rFonts w:ascii="Verdana" w:hAnsi="Verdana" w:cs="Arial"/>
                <w:b/>
                <w:sz w:val="20"/>
                <w:szCs w:val="20"/>
              </w:rPr>
            </w:pPr>
            <w:r>
              <w:rPr>
                <w:rFonts w:ascii="Verdana" w:hAnsi="Verdana" w:cs="Arial"/>
                <w:b/>
                <w:sz w:val="20"/>
                <w:szCs w:val="20"/>
              </w:rPr>
              <w:t>The Department of State</w:t>
            </w:r>
          </w:p>
        </w:tc>
      </w:tr>
      <w:tr w:rsidR="003E4710" w:rsidRPr="009A10F2" w:rsidTr="00A603A9">
        <w:trPr>
          <w:cantSplit/>
        </w:trPr>
        <w:tc>
          <w:tcPr>
            <w:tcW w:w="5000" w:type="pct"/>
            <w:gridSpan w:val="3"/>
            <w:tcBorders>
              <w:bottom w:val="single" w:sz="4" w:space="0" w:color="auto"/>
            </w:tcBorders>
            <w:shd w:val="clear" w:color="auto" w:fill="FFFFFF" w:themeFill="background1"/>
          </w:tcPr>
          <w:p w:rsidR="00220CE6" w:rsidRPr="005564D4" w:rsidRDefault="007248B9" w:rsidP="007248B9">
            <w:pPr>
              <w:pStyle w:val="bodytext"/>
              <w:spacing w:line="240" w:lineRule="auto"/>
              <w:rPr>
                <w:rFonts w:ascii="Verdana" w:hAnsi="Verdana" w:cs="Arial"/>
                <w:sz w:val="20"/>
              </w:rPr>
            </w:pPr>
            <w:r w:rsidRPr="005564D4">
              <w:rPr>
                <w:rFonts w:ascii="Verdana" w:hAnsi="Verdana"/>
                <w:sz w:val="20"/>
              </w:rPr>
              <w:t>The Department of State’s mission is to facilitate public access to government and enhance the quality of life for Floridians and their communities by; helping ensure the integrity of the business community; providing oversight to assure fair and accurate elections; preserving and promoting Florida’s rich historical and cultural heritage, including serving as the official custodian of the State Seal; supporting local libraries; and gathering and providing public access to state records and information. The legislature appropriated $79.9 million and 558 positions (including OPS) for fiscal year 2009-10</w:t>
            </w:r>
            <w:r w:rsidR="005564D4">
              <w:rPr>
                <w:rFonts w:ascii="Verdana" w:hAnsi="Verdana"/>
                <w:sz w:val="20"/>
              </w:rPr>
              <w:t>.</w:t>
            </w:r>
          </w:p>
        </w:tc>
      </w:tr>
      <w:tr w:rsidR="007730CC" w:rsidRPr="009A10F2" w:rsidTr="00A603A9">
        <w:trPr>
          <w:cantSplit/>
          <w:trHeight w:val="500"/>
        </w:trPr>
        <w:tc>
          <w:tcPr>
            <w:tcW w:w="5000" w:type="pct"/>
            <w:gridSpan w:val="3"/>
            <w:shd w:val="clear" w:color="auto" w:fill="BFBFBF" w:themeFill="background1" w:themeFillShade="BF"/>
          </w:tcPr>
          <w:p w:rsidR="007730CC" w:rsidRPr="0013670A" w:rsidRDefault="007730CC" w:rsidP="00381AAC">
            <w:pPr>
              <w:spacing w:beforeLines="60" w:afterLines="60"/>
              <w:ind w:left="810"/>
              <w:rPr>
                <w:rFonts w:ascii="Verdana" w:hAnsi="Verdana" w:cs="Arial"/>
                <w:b/>
                <w:sz w:val="20"/>
                <w:szCs w:val="20"/>
              </w:rPr>
            </w:pPr>
            <w:r w:rsidRPr="0013670A">
              <w:rPr>
                <w:rFonts w:ascii="Verdana" w:hAnsi="Verdana" w:cs="Arial"/>
                <w:b/>
                <w:sz w:val="20"/>
                <w:szCs w:val="20"/>
              </w:rPr>
              <w:t>Administration/Executive Direction and Support Services</w:t>
            </w:r>
            <w:r w:rsidR="002110B1">
              <w:rPr>
                <w:rFonts w:ascii="Verdana" w:hAnsi="Verdana" w:cs="Arial"/>
                <w:b/>
                <w:sz w:val="20"/>
                <w:szCs w:val="20"/>
              </w:rPr>
              <w:t xml:space="preserve">:     </w:t>
            </w:r>
            <w:r w:rsidR="00E43CED" w:rsidRPr="0013670A">
              <w:rPr>
                <w:rFonts w:ascii="Verdana" w:hAnsi="Verdana" w:cs="Arial"/>
                <w:b/>
                <w:sz w:val="20"/>
                <w:szCs w:val="20"/>
              </w:rPr>
              <w:t>$7.19 million</w:t>
            </w:r>
            <w:r w:rsidR="002110B1">
              <w:rPr>
                <w:rFonts w:ascii="Verdana" w:hAnsi="Verdana" w:cs="Arial"/>
                <w:b/>
                <w:sz w:val="20"/>
                <w:szCs w:val="20"/>
              </w:rPr>
              <w:t xml:space="preserve">     </w:t>
            </w:r>
            <w:r w:rsidR="00E43CED" w:rsidRPr="0013670A">
              <w:rPr>
                <w:rFonts w:ascii="Verdana" w:hAnsi="Verdana" w:cs="Arial"/>
                <w:b/>
                <w:sz w:val="20"/>
                <w:szCs w:val="20"/>
              </w:rPr>
              <w:t>96 FTE</w:t>
            </w:r>
          </w:p>
        </w:tc>
      </w:tr>
      <w:tr w:rsidR="00ED60B5" w:rsidRPr="009A10F2" w:rsidTr="00E30E0E">
        <w:trPr>
          <w:cantSplit/>
          <w:trHeight w:val="500"/>
        </w:trPr>
        <w:tc>
          <w:tcPr>
            <w:tcW w:w="314" w:type="pct"/>
          </w:tcPr>
          <w:p w:rsidR="00ED60B5" w:rsidRPr="009A10F2" w:rsidRDefault="00ED60B5" w:rsidP="00381AAC">
            <w:pPr>
              <w:spacing w:beforeLines="60" w:afterLines="60"/>
              <w:jc w:val="center"/>
              <w:rPr>
                <w:rFonts w:ascii="Verdana" w:hAnsi="Verdana" w:cs="Arial"/>
                <w:sz w:val="16"/>
                <w:szCs w:val="16"/>
              </w:rPr>
            </w:pPr>
          </w:p>
        </w:tc>
        <w:tc>
          <w:tcPr>
            <w:tcW w:w="380" w:type="pct"/>
          </w:tcPr>
          <w:p w:rsidR="00ED60B5" w:rsidRPr="009A10F2" w:rsidRDefault="00ED60B5"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FFFFFF"/>
          </w:tcPr>
          <w:p w:rsidR="00ED60B5" w:rsidRPr="009A10F2" w:rsidRDefault="00ED60B5" w:rsidP="00381AAC">
            <w:pPr>
              <w:spacing w:beforeLines="60" w:afterLines="60"/>
              <w:ind w:left="401"/>
              <w:rPr>
                <w:rFonts w:ascii="Verdana" w:hAnsi="Verdana" w:cs="Arial"/>
                <w:sz w:val="20"/>
                <w:szCs w:val="20"/>
              </w:rPr>
            </w:pPr>
            <w:r w:rsidRPr="007D1E9B">
              <w:rPr>
                <w:rFonts w:ascii="Verdana" w:hAnsi="Verdana" w:cs="Arial"/>
                <w:b/>
                <w:sz w:val="20"/>
                <w:szCs w:val="20"/>
              </w:rPr>
              <w:t>Human Resources</w:t>
            </w:r>
            <w:r>
              <w:rPr>
                <w:rFonts w:ascii="Verdana" w:hAnsi="Verdana" w:cs="Arial"/>
                <w:sz w:val="20"/>
                <w:szCs w:val="20"/>
              </w:rPr>
              <w:t xml:space="preserve"> </w:t>
            </w:r>
            <w:r>
              <w:rPr>
                <w:rFonts w:ascii="Verdana" w:hAnsi="Verdana" w:cs="Arial"/>
                <w:b/>
                <w:sz w:val="20"/>
                <w:szCs w:val="20"/>
              </w:rPr>
              <w:t>&amp; General Services</w:t>
            </w:r>
            <w:r>
              <w:rPr>
                <w:rFonts w:ascii="Verdana" w:hAnsi="Verdana" w:cs="Arial"/>
                <w:sz w:val="20"/>
                <w:szCs w:val="20"/>
              </w:rPr>
              <w:t xml:space="preserve">- </w:t>
            </w:r>
            <w:r w:rsidRPr="00E43CED">
              <w:rPr>
                <w:rFonts w:ascii="Verdana" w:hAnsi="Verdana" w:cs="Arial"/>
                <w:sz w:val="20"/>
                <w:szCs w:val="20"/>
              </w:rPr>
              <w:t>administers and coordinates: Position classification system; pay plan and payroll, recruitment and applicant selection; original appointments; promotions, demotions, terminations, reinstatements and transfers; staff development and training. Monitors and assures departmental compliance with federal and state law, rule, policy and procedure. General Services administers and coordinates: purchasing; property and surplus property; mail maintenance and repair; office services and telecommunications. This division also coordinates procurement practices; formulates bid specifications and manages the bid process; develops and reviews sole source procurement requests for justification and sufficiency; and manages the department’s leasing program, including office space and equipment</w:t>
            </w:r>
            <w:r w:rsidR="00B801C6">
              <w:rPr>
                <w:rFonts w:ascii="Verdana" w:hAnsi="Verdana" w:cs="Arial"/>
                <w:sz w:val="20"/>
                <w:szCs w:val="20"/>
              </w:rPr>
              <w:t>.</w:t>
            </w:r>
          </w:p>
        </w:tc>
      </w:tr>
      <w:tr w:rsidR="00ED60B5" w:rsidRPr="009A10F2" w:rsidTr="00E30E0E">
        <w:trPr>
          <w:cantSplit/>
          <w:trHeight w:val="500"/>
        </w:trPr>
        <w:tc>
          <w:tcPr>
            <w:tcW w:w="314" w:type="pct"/>
          </w:tcPr>
          <w:p w:rsidR="00ED60B5" w:rsidRPr="009A10F2" w:rsidRDefault="00ED60B5" w:rsidP="00381AAC">
            <w:pPr>
              <w:spacing w:beforeLines="60" w:afterLines="60"/>
              <w:rPr>
                <w:rFonts w:ascii="Verdana" w:hAnsi="Verdana" w:cs="Arial"/>
                <w:sz w:val="16"/>
                <w:szCs w:val="16"/>
              </w:rPr>
            </w:pPr>
          </w:p>
        </w:tc>
        <w:tc>
          <w:tcPr>
            <w:tcW w:w="380" w:type="pct"/>
          </w:tcPr>
          <w:p w:rsidR="00ED60B5" w:rsidRPr="009A10F2" w:rsidRDefault="00ED60B5"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FFFFFF"/>
          </w:tcPr>
          <w:p w:rsidR="00ED60B5" w:rsidRPr="009A10F2" w:rsidRDefault="00ED60B5" w:rsidP="00381AAC">
            <w:pPr>
              <w:spacing w:beforeLines="60" w:afterLines="60"/>
              <w:rPr>
                <w:rFonts w:ascii="Verdana" w:hAnsi="Verdana" w:cs="Arial"/>
                <w:sz w:val="20"/>
                <w:szCs w:val="20"/>
              </w:rPr>
            </w:pPr>
          </w:p>
        </w:tc>
      </w:tr>
      <w:tr w:rsidR="00ED60B5" w:rsidRPr="009A10F2" w:rsidTr="00ED60B5">
        <w:trPr>
          <w:cantSplit/>
          <w:trHeight w:val="535"/>
        </w:trPr>
        <w:tc>
          <w:tcPr>
            <w:tcW w:w="314" w:type="pct"/>
          </w:tcPr>
          <w:p w:rsidR="00ED60B5" w:rsidRPr="009A10F2" w:rsidRDefault="00ED60B5" w:rsidP="00381AAC">
            <w:pPr>
              <w:spacing w:beforeLines="60" w:afterLines="60"/>
              <w:rPr>
                <w:rFonts w:ascii="Verdana" w:hAnsi="Verdana" w:cs="Arial"/>
                <w:i/>
                <w:sz w:val="16"/>
                <w:szCs w:val="16"/>
              </w:rPr>
            </w:pPr>
          </w:p>
        </w:tc>
        <w:tc>
          <w:tcPr>
            <w:tcW w:w="380" w:type="pct"/>
          </w:tcPr>
          <w:p w:rsidR="00ED60B5" w:rsidRPr="009A10F2" w:rsidRDefault="00ED60B5"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FFFFFF"/>
          </w:tcPr>
          <w:p w:rsidR="00ED60B5" w:rsidRPr="009A10F2" w:rsidRDefault="00ED60B5" w:rsidP="00381AAC">
            <w:pPr>
              <w:spacing w:beforeLines="60" w:afterLines="60"/>
              <w:rPr>
                <w:rFonts w:ascii="Verdana" w:hAnsi="Verdana" w:cs="Arial"/>
                <w:sz w:val="20"/>
                <w:szCs w:val="20"/>
              </w:rPr>
            </w:pPr>
          </w:p>
        </w:tc>
      </w:tr>
      <w:tr w:rsidR="00ED60B5" w:rsidRPr="009A10F2" w:rsidTr="00ED60B5">
        <w:trPr>
          <w:cantSplit/>
          <w:trHeight w:val="535"/>
        </w:trPr>
        <w:tc>
          <w:tcPr>
            <w:tcW w:w="694" w:type="pct"/>
            <w:gridSpan w:val="2"/>
          </w:tcPr>
          <w:p w:rsidR="00ED60B5" w:rsidRPr="009A10F2" w:rsidRDefault="00ED60B5" w:rsidP="00381AAC">
            <w:pPr>
              <w:spacing w:beforeLines="60" w:afterLines="60"/>
              <w:rPr>
                <w:rFonts w:ascii="Verdana" w:hAnsi="Verdana" w:cs="Arial"/>
                <w:i/>
                <w:sz w:val="16"/>
                <w:szCs w:val="16"/>
              </w:rPr>
            </w:pPr>
          </w:p>
        </w:tc>
        <w:tc>
          <w:tcPr>
            <w:tcW w:w="4306" w:type="pct"/>
            <w:vMerge/>
            <w:shd w:val="clear" w:color="auto" w:fill="FFFFFF"/>
          </w:tcPr>
          <w:p w:rsidR="00ED60B5" w:rsidRPr="009A10F2" w:rsidRDefault="00ED60B5" w:rsidP="00381AAC">
            <w:pPr>
              <w:spacing w:beforeLines="60" w:afterLines="60"/>
              <w:rPr>
                <w:rFonts w:ascii="Verdana" w:hAnsi="Verdana" w:cs="Arial"/>
                <w:sz w:val="20"/>
                <w:szCs w:val="20"/>
              </w:rPr>
            </w:pPr>
          </w:p>
        </w:tc>
      </w:tr>
      <w:tr w:rsidR="002C21B9" w:rsidRPr="009A10F2" w:rsidTr="004B13C5">
        <w:trPr>
          <w:cantSplit/>
          <w:trHeight w:val="450"/>
        </w:trPr>
        <w:tc>
          <w:tcPr>
            <w:tcW w:w="314" w:type="pct"/>
          </w:tcPr>
          <w:p w:rsidR="002C21B9" w:rsidRPr="009A10F2" w:rsidRDefault="002C21B9" w:rsidP="00381AAC">
            <w:pPr>
              <w:spacing w:beforeLines="60" w:afterLines="60"/>
              <w:jc w:val="center"/>
              <w:rPr>
                <w:rFonts w:ascii="Verdana" w:hAnsi="Verdana" w:cs="Arial"/>
                <w:sz w:val="16"/>
                <w:szCs w:val="16"/>
              </w:rPr>
            </w:pPr>
          </w:p>
        </w:tc>
        <w:tc>
          <w:tcPr>
            <w:tcW w:w="380" w:type="pct"/>
          </w:tcPr>
          <w:p w:rsidR="002C21B9" w:rsidRPr="009A10F2" w:rsidRDefault="002C21B9"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2C21B9" w:rsidRPr="009A10F2" w:rsidRDefault="002C21B9" w:rsidP="00381AAC">
            <w:pPr>
              <w:spacing w:beforeLines="60" w:afterLines="60"/>
              <w:ind w:left="360"/>
              <w:rPr>
                <w:rFonts w:ascii="Verdana" w:hAnsi="Verdana" w:cs="Arial"/>
                <w:sz w:val="20"/>
                <w:szCs w:val="20"/>
              </w:rPr>
            </w:pPr>
            <w:r w:rsidRPr="007D1E9B">
              <w:rPr>
                <w:rFonts w:ascii="Verdana" w:hAnsi="Verdana" w:cs="Arial"/>
                <w:b/>
                <w:sz w:val="20"/>
                <w:szCs w:val="20"/>
              </w:rPr>
              <w:t>Planning, Budget and Financial Services</w:t>
            </w:r>
            <w:r>
              <w:rPr>
                <w:rFonts w:ascii="Verdana" w:hAnsi="Verdana" w:cs="Arial"/>
                <w:sz w:val="20"/>
                <w:szCs w:val="20"/>
              </w:rPr>
              <w:t xml:space="preserve"> - </w:t>
            </w:r>
            <w:r w:rsidRPr="00945A56">
              <w:rPr>
                <w:rFonts w:ascii="Verdana" w:hAnsi="Verdana" w:cs="Arial"/>
                <w:sz w:val="20"/>
                <w:szCs w:val="20"/>
              </w:rPr>
              <w:t>Manage and coordinate the preparation of the Department's Legislative Budget Request for operations and fixed capital outlay; the Department's Long Range Program Plan</w:t>
            </w:r>
            <w:r>
              <w:rPr>
                <w:rFonts w:ascii="Verdana" w:hAnsi="Verdana" w:cs="Arial"/>
                <w:sz w:val="20"/>
                <w:szCs w:val="20"/>
              </w:rPr>
              <w:t xml:space="preserve"> and o</w:t>
            </w:r>
            <w:r w:rsidRPr="00945A56">
              <w:rPr>
                <w:rFonts w:ascii="Verdana" w:hAnsi="Verdana" w:cs="Arial"/>
                <w:sz w:val="20"/>
                <w:szCs w:val="20"/>
              </w:rPr>
              <w:t>perating budgets for Departmental units based on the Appropriations Act and Approved Budget provided by the Executive Office of the Governor. The Division administers and coordinates; the maintenance of ledgers; payment of vendor invoices and employee travel reimbursements; warrant distribution; establishment and assignment of appropriate accounting codes; cash and budget control; cash receipt and control; accounting adjustments and reconciliation; analysis and distribution of financial reports; financial control over contracts and grants and preparation of financial statements and reports</w:t>
            </w:r>
            <w:r w:rsidR="00B801C6">
              <w:rPr>
                <w:rFonts w:ascii="Verdana" w:hAnsi="Verdana" w:cs="Arial"/>
                <w:sz w:val="20"/>
                <w:szCs w:val="20"/>
              </w:rPr>
              <w:t>.</w:t>
            </w:r>
          </w:p>
        </w:tc>
      </w:tr>
      <w:tr w:rsidR="002C21B9" w:rsidRPr="009A10F2" w:rsidTr="004B13C5">
        <w:trPr>
          <w:cantSplit/>
          <w:trHeight w:val="450"/>
        </w:trPr>
        <w:tc>
          <w:tcPr>
            <w:tcW w:w="314" w:type="pct"/>
          </w:tcPr>
          <w:p w:rsidR="002C21B9" w:rsidRPr="009A10F2" w:rsidRDefault="002C21B9" w:rsidP="00381AAC">
            <w:pPr>
              <w:spacing w:beforeLines="60" w:afterLines="60"/>
              <w:rPr>
                <w:rFonts w:ascii="Verdana" w:hAnsi="Verdana" w:cs="Arial"/>
                <w:sz w:val="16"/>
                <w:szCs w:val="16"/>
              </w:rPr>
            </w:pPr>
          </w:p>
        </w:tc>
        <w:tc>
          <w:tcPr>
            <w:tcW w:w="380" w:type="pct"/>
          </w:tcPr>
          <w:p w:rsidR="002C21B9" w:rsidRPr="009A10F2" w:rsidRDefault="002C21B9"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2C21B9" w:rsidRPr="009A10F2" w:rsidRDefault="002C21B9" w:rsidP="00381AAC">
            <w:pPr>
              <w:spacing w:beforeLines="60" w:afterLines="60"/>
              <w:rPr>
                <w:rFonts w:ascii="Verdana" w:hAnsi="Verdana" w:cs="Arial"/>
                <w:sz w:val="20"/>
                <w:szCs w:val="20"/>
              </w:rPr>
            </w:pPr>
          </w:p>
        </w:tc>
      </w:tr>
      <w:tr w:rsidR="002C21B9" w:rsidRPr="009A10F2" w:rsidTr="002C21B9">
        <w:trPr>
          <w:cantSplit/>
          <w:trHeight w:val="367"/>
        </w:trPr>
        <w:tc>
          <w:tcPr>
            <w:tcW w:w="314" w:type="pct"/>
          </w:tcPr>
          <w:p w:rsidR="002C21B9" w:rsidRPr="009A10F2" w:rsidRDefault="002C21B9" w:rsidP="00381AAC">
            <w:pPr>
              <w:spacing w:beforeLines="60" w:afterLines="60"/>
              <w:rPr>
                <w:rFonts w:ascii="Verdana" w:hAnsi="Verdana" w:cs="Arial"/>
                <w:i/>
                <w:sz w:val="16"/>
                <w:szCs w:val="16"/>
              </w:rPr>
            </w:pPr>
          </w:p>
        </w:tc>
        <w:tc>
          <w:tcPr>
            <w:tcW w:w="380" w:type="pct"/>
          </w:tcPr>
          <w:p w:rsidR="002C21B9" w:rsidRPr="009A10F2" w:rsidRDefault="002C21B9"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2C21B9" w:rsidRPr="009A10F2" w:rsidRDefault="002C21B9" w:rsidP="00381AAC">
            <w:pPr>
              <w:spacing w:beforeLines="60" w:afterLines="60"/>
              <w:rPr>
                <w:rFonts w:ascii="Verdana" w:hAnsi="Verdana" w:cs="Arial"/>
                <w:sz w:val="20"/>
                <w:szCs w:val="20"/>
              </w:rPr>
            </w:pPr>
          </w:p>
        </w:tc>
      </w:tr>
      <w:tr w:rsidR="002C21B9" w:rsidRPr="009A10F2" w:rsidTr="002C21B9">
        <w:trPr>
          <w:cantSplit/>
          <w:trHeight w:val="975"/>
        </w:trPr>
        <w:tc>
          <w:tcPr>
            <w:tcW w:w="694" w:type="pct"/>
            <w:gridSpan w:val="2"/>
          </w:tcPr>
          <w:p w:rsidR="002C21B9" w:rsidRPr="009A10F2" w:rsidRDefault="002C21B9" w:rsidP="00381AAC">
            <w:pPr>
              <w:spacing w:beforeLines="60" w:afterLines="60"/>
              <w:rPr>
                <w:rFonts w:ascii="Verdana" w:hAnsi="Verdana" w:cs="Arial"/>
                <w:i/>
                <w:sz w:val="16"/>
                <w:szCs w:val="16"/>
              </w:rPr>
            </w:pPr>
          </w:p>
        </w:tc>
        <w:tc>
          <w:tcPr>
            <w:tcW w:w="4306" w:type="pct"/>
            <w:vMerge/>
          </w:tcPr>
          <w:p w:rsidR="002C21B9" w:rsidRPr="009A10F2" w:rsidRDefault="002C21B9" w:rsidP="00381AAC">
            <w:pPr>
              <w:spacing w:beforeLines="60" w:afterLines="60"/>
              <w:rPr>
                <w:rFonts w:ascii="Verdana" w:hAnsi="Verdana" w:cs="Arial"/>
                <w:sz w:val="20"/>
                <w:szCs w:val="20"/>
              </w:rPr>
            </w:pPr>
          </w:p>
        </w:tc>
      </w:tr>
      <w:tr w:rsidR="002C21B9" w:rsidRPr="009A10F2" w:rsidTr="004B13C5">
        <w:trPr>
          <w:cantSplit/>
          <w:trHeight w:val="375"/>
        </w:trPr>
        <w:tc>
          <w:tcPr>
            <w:tcW w:w="314" w:type="pct"/>
          </w:tcPr>
          <w:p w:rsidR="002C21B9" w:rsidRPr="009A10F2" w:rsidRDefault="002C21B9" w:rsidP="00381AAC">
            <w:pPr>
              <w:spacing w:beforeLines="60" w:afterLines="60"/>
              <w:jc w:val="center"/>
              <w:rPr>
                <w:rFonts w:ascii="Verdana" w:hAnsi="Verdana" w:cs="Arial"/>
                <w:sz w:val="16"/>
                <w:szCs w:val="16"/>
              </w:rPr>
            </w:pPr>
          </w:p>
        </w:tc>
        <w:tc>
          <w:tcPr>
            <w:tcW w:w="380" w:type="pct"/>
          </w:tcPr>
          <w:p w:rsidR="002C21B9" w:rsidRPr="009A10F2" w:rsidRDefault="002C21B9"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2C21B9" w:rsidRPr="009A10F2" w:rsidRDefault="002C21B9" w:rsidP="00381AAC">
            <w:pPr>
              <w:spacing w:beforeLines="60" w:afterLines="60"/>
              <w:ind w:left="360"/>
              <w:rPr>
                <w:rFonts w:ascii="Verdana" w:hAnsi="Verdana" w:cs="Arial"/>
                <w:sz w:val="20"/>
                <w:szCs w:val="20"/>
              </w:rPr>
            </w:pPr>
            <w:r w:rsidRPr="007D1E9B">
              <w:rPr>
                <w:rFonts w:ascii="Verdana" w:hAnsi="Verdana" w:cs="Arial"/>
                <w:b/>
                <w:sz w:val="20"/>
                <w:szCs w:val="20"/>
              </w:rPr>
              <w:t>Operations</w:t>
            </w:r>
            <w:r>
              <w:rPr>
                <w:rFonts w:ascii="Verdana" w:hAnsi="Verdana" w:cs="Arial"/>
                <w:b/>
                <w:sz w:val="20"/>
                <w:szCs w:val="20"/>
              </w:rPr>
              <w:t>,</w:t>
            </w:r>
            <w:r w:rsidRPr="007D1E9B">
              <w:rPr>
                <w:rFonts w:ascii="Verdana" w:hAnsi="Verdana" w:cs="Arial"/>
                <w:b/>
                <w:sz w:val="20"/>
                <w:szCs w:val="20"/>
              </w:rPr>
              <w:t xml:space="preserve"> Technical Support</w:t>
            </w:r>
            <w:r>
              <w:rPr>
                <w:rFonts w:ascii="Verdana" w:hAnsi="Verdana" w:cs="Arial"/>
                <w:b/>
                <w:sz w:val="20"/>
                <w:szCs w:val="20"/>
              </w:rPr>
              <w:t xml:space="preserve"> and Information Systems</w:t>
            </w:r>
            <w:r w:rsidRPr="007D1E9B">
              <w:rPr>
                <w:rFonts w:ascii="Verdana" w:hAnsi="Verdana" w:cs="Arial"/>
                <w:b/>
                <w:sz w:val="20"/>
                <w:szCs w:val="20"/>
              </w:rPr>
              <w:t xml:space="preserve"> </w:t>
            </w:r>
            <w:r>
              <w:rPr>
                <w:rFonts w:ascii="Verdana" w:hAnsi="Verdana" w:cs="Arial"/>
                <w:sz w:val="20"/>
                <w:szCs w:val="20"/>
              </w:rPr>
              <w:t xml:space="preserve">- </w:t>
            </w:r>
            <w:r w:rsidRPr="00945A56">
              <w:rPr>
                <w:rFonts w:ascii="Verdana" w:hAnsi="Verdana" w:cs="Arial"/>
                <w:sz w:val="20"/>
                <w:szCs w:val="20"/>
              </w:rPr>
              <w:t xml:space="preserve">manage and coordinate: computer services; network services; desktop support; email and blackberry services and COOP equipment. It also manages and coordinates: procurement of computer equipment and monitors and assures departmental compliance with federal and state law, rule, policy and procedure. </w:t>
            </w:r>
            <w:r w:rsidRPr="00A603A9">
              <w:rPr>
                <w:rFonts w:ascii="Verdana" w:hAnsi="Verdana" w:cs="Arial"/>
                <w:sz w:val="20"/>
                <w:szCs w:val="20"/>
              </w:rPr>
              <w:t>Information Systems administers and coordinates: information systems development for the Divisions of Corporations, Elections and Administrative Services; the Department of State’s intranet website and Public Records Requests. The division also participates in the procurement process for information technology services and directs</w:t>
            </w:r>
            <w:r w:rsidR="00B801C6">
              <w:rPr>
                <w:rFonts w:ascii="Verdana" w:hAnsi="Verdana" w:cs="Arial"/>
                <w:sz w:val="20"/>
                <w:szCs w:val="20"/>
              </w:rPr>
              <w:t xml:space="preserve"> </w:t>
            </w:r>
            <w:r w:rsidR="00B801C6" w:rsidRPr="00B801C6">
              <w:rPr>
                <w:rFonts w:ascii="Verdana" w:hAnsi="Verdana" w:cs="Arial"/>
                <w:sz w:val="20"/>
                <w:szCs w:val="20"/>
              </w:rPr>
              <w:t>and coordinate</w:t>
            </w:r>
            <w:r w:rsidR="00B801C6">
              <w:rPr>
                <w:rFonts w:ascii="Verdana" w:hAnsi="Verdana" w:cs="Arial"/>
                <w:sz w:val="20"/>
                <w:szCs w:val="20"/>
              </w:rPr>
              <w:t>s</w:t>
            </w:r>
            <w:r w:rsidR="00B801C6" w:rsidRPr="00B801C6">
              <w:rPr>
                <w:rFonts w:ascii="Verdana" w:hAnsi="Verdana" w:cs="Arial"/>
                <w:sz w:val="20"/>
                <w:szCs w:val="20"/>
              </w:rPr>
              <w:t xml:space="preserve"> the training of applications</w:t>
            </w:r>
            <w:r w:rsidR="00B801C6">
              <w:rPr>
                <w:rFonts w:ascii="Verdana" w:hAnsi="Verdana" w:cs="Arial"/>
                <w:sz w:val="20"/>
                <w:szCs w:val="20"/>
              </w:rPr>
              <w:t>.</w:t>
            </w:r>
          </w:p>
        </w:tc>
      </w:tr>
      <w:tr w:rsidR="002C21B9" w:rsidRPr="009A10F2" w:rsidTr="004B13C5">
        <w:trPr>
          <w:cantSplit/>
          <w:trHeight w:val="375"/>
        </w:trPr>
        <w:tc>
          <w:tcPr>
            <w:tcW w:w="314" w:type="pct"/>
          </w:tcPr>
          <w:p w:rsidR="002C21B9" w:rsidRPr="009A10F2" w:rsidRDefault="002C21B9" w:rsidP="00381AAC">
            <w:pPr>
              <w:spacing w:beforeLines="60" w:afterLines="60"/>
              <w:rPr>
                <w:rFonts w:ascii="Verdana" w:hAnsi="Verdana" w:cs="Arial"/>
                <w:sz w:val="16"/>
                <w:szCs w:val="16"/>
              </w:rPr>
            </w:pPr>
          </w:p>
        </w:tc>
        <w:tc>
          <w:tcPr>
            <w:tcW w:w="380" w:type="pct"/>
          </w:tcPr>
          <w:p w:rsidR="002C21B9" w:rsidRPr="009A10F2" w:rsidRDefault="002C21B9"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2C21B9" w:rsidRPr="009A10F2" w:rsidRDefault="002C21B9" w:rsidP="00381AAC">
            <w:pPr>
              <w:spacing w:beforeLines="60" w:afterLines="60"/>
              <w:rPr>
                <w:rFonts w:ascii="Verdana" w:hAnsi="Verdana" w:cs="Arial"/>
                <w:sz w:val="20"/>
                <w:szCs w:val="20"/>
              </w:rPr>
            </w:pPr>
          </w:p>
        </w:tc>
      </w:tr>
      <w:tr w:rsidR="002C21B9" w:rsidRPr="009A10F2" w:rsidTr="002C21B9">
        <w:trPr>
          <w:cantSplit/>
          <w:trHeight w:val="443"/>
        </w:trPr>
        <w:tc>
          <w:tcPr>
            <w:tcW w:w="314" w:type="pct"/>
          </w:tcPr>
          <w:p w:rsidR="002C21B9" w:rsidRPr="009A10F2" w:rsidRDefault="002C21B9" w:rsidP="00381AAC">
            <w:pPr>
              <w:spacing w:beforeLines="60" w:afterLines="60"/>
              <w:rPr>
                <w:rFonts w:ascii="Verdana" w:hAnsi="Verdana" w:cs="Arial"/>
                <w:i/>
                <w:sz w:val="16"/>
                <w:szCs w:val="16"/>
              </w:rPr>
            </w:pPr>
          </w:p>
        </w:tc>
        <w:tc>
          <w:tcPr>
            <w:tcW w:w="380" w:type="pct"/>
          </w:tcPr>
          <w:p w:rsidR="002C21B9" w:rsidRPr="009A10F2" w:rsidRDefault="002C21B9"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2C21B9" w:rsidRPr="009A10F2" w:rsidRDefault="002C21B9" w:rsidP="00381AAC">
            <w:pPr>
              <w:spacing w:beforeLines="60" w:afterLines="60"/>
              <w:rPr>
                <w:rFonts w:ascii="Verdana" w:hAnsi="Verdana" w:cs="Arial"/>
                <w:sz w:val="20"/>
                <w:szCs w:val="20"/>
              </w:rPr>
            </w:pPr>
          </w:p>
        </w:tc>
      </w:tr>
      <w:tr w:rsidR="002C21B9" w:rsidRPr="009A10F2" w:rsidTr="002C21B9">
        <w:trPr>
          <w:cantSplit/>
          <w:trHeight w:val="442"/>
        </w:trPr>
        <w:tc>
          <w:tcPr>
            <w:tcW w:w="694" w:type="pct"/>
            <w:gridSpan w:val="2"/>
          </w:tcPr>
          <w:p w:rsidR="002C21B9" w:rsidRPr="009A10F2" w:rsidRDefault="002C21B9" w:rsidP="00381AAC">
            <w:pPr>
              <w:spacing w:beforeLines="60" w:afterLines="60"/>
              <w:rPr>
                <w:rFonts w:ascii="Verdana" w:hAnsi="Verdana" w:cs="Arial"/>
                <w:i/>
                <w:sz w:val="16"/>
                <w:szCs w:val="16"/>
              </w:rPr>
            </w:pPr>
          </w:p>
        </w:tc>
        <w:tc>
          <w:tcPr>
            <w:tcW w:w="4306" w:type="pct"/>
            <w:vMerge/>
          </w:tcPr>
          <w:p w:rsidR="002C21B9" w:rsidRPr="009A10F2" w:rsidRDefault="002C21B9" w:rsidP="00381AAC">
            <w:pPr>
              <w:spacing w:beforeLines="60" w:afterLines="60"/>
              <w:rPr>
                <w:rFonts w:ascii="Verdana" w:hAnsi="Verdana" w:cs="Arial"/>
                <w:sz w:val="20"/>
                <w:szCs w:val="20"/>
              </w:rPr>
            </w:pPr>
          </w:p>
        </w:tc>
      </w:tr>
    </w:tbl>
    <w:p w:rsidR="00153668" w:rsidRDefault="0015366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CD1914" w:rsidRPr="009A10F2" w:rsidTr="00A603A9">
        <w:trPr>
          <w:cantSplit/>
          <w:trHeight w:val="385"/>
        </w:trPr>
        <w:tc>
          <w:tcPr>
            <w:tcW w:w="5000" w:type="pct"/>
            <w:gridSpan w:val="3"/>
            <w:shd w:val="clear" w:color="auto" w:fill="BFBFBF" w:themeFill="background1" w:themeFillShade="BF"/>
          </w:tcPr>
          <w:p w:rsidR="00CD1914" w:rsidRPr="0013670A" w:rsidRDefault="00CD1914" w:rsidP="00381AAC">
            <w:pPr>
              <w:autoSpaceDE w:val="0"/>
              <w:autoSpaceDN w:val="0"/>
              <w:adjustRightInd w:val="0"/>
              <w:spacing w:beforeLines="60" w:afterLines="60"/>
              <w:ind w:left="810"/>
              <w:rPr>
                <w:rFonts w:ascii="Verdana" w:hAnsi="Verdana" w:cs="Arial"/>
                <w:b/>
                <w:sz w:val="20"/>
                <w:szCs w:val="20"/>
              </w:rPr>
            </w:pPr>
            <w:r w:rsidRPr="0013670A">
              <w:rPr>
                <w:rFonts w:ascii="Verdana" w:hAnsi="Verdana" w:cs="Arial"/>
                <w:b/>
                <w:sz w:val="20"/>
                <w:szCs w:val="20"/>
              </w:rPr>
              <w:t>Corporations</w:t>
            </w:r>
            <w:r w:rsidR="002110B1">
              <w:rPr>
                <w:rFonts w:ascii="Verdana" w:hAnsi="Verdana" w:cs="Arial"/>
                <w:b/>
                <w:sz w:val="20"/>
                <w:szCs w:val="20"/>
              </w:rPr>
              <w:t xml:space="preserve">:     </w:t>
            </w:r>
            <w:r w:rsidRPr="0013670A">
              <w:rPr>
                <w:rFonts w:ascii="Verdana" w:hAnsi="Verdana" w:cs="Arial"/>
                <w:b/>
                <w:sz w:val="20"/>
                <w:szCs w:val="20"/>
              </w:rPr>
              <w:t>$8.3 million</w:t>
            </w:r>
            <w:r w:rsidR="002110B1">
              <w:rPr>
                <w:rFonts w:ascii="Verdana" w:hAnsi="Verdana" w:cs="Arial"/>
                <w:b/>
                <w:sz w:val="20"/>
                <w:szCs w:val="20"/>
              </w:rPr>
              <w:t xml:space="preserve">      1</w:t>
            </w:r>
            <w:r w:rsidRPr="0013670A">
              <w:rPr>
                <w:rFonts w:ascii="Verdana" w:hAnsi="Verdana" w:cs="Arial"/>
                <w:b/>
                <w:sz w:val="20"/>
                <w:szCs w:val="20"/>
              </w:rPr>
              <w:t>06 FTE</w:t>
            </w:r>
            <w:r w:rsidR="002110B1">
              <w:rPr>
                <w:rFonts w:ascii="Verdana" w:hAnsi="Verdana" w:cs="Arial"/>
                <w:b/>
                <w:sz w:val="20"/>
                <w:szCs w:val="20"/>
              </w:rPr>
              <w:t xml:space="preserve">     </w:t>
            </w:r>
            <w:r w:rsidRPr="0013670A">
              <w:rPr>
                <w:rFonts w:ascii="Verdana" w:hAnsi="Verdana" w:cs="Arial"/>
                <w:b/>
                <w:sz w:val="20"/>
                <w:szCs w:val="20"/>
              </w:rPr>
              <w:t xml:space="preserve"> 10 OPS</w:t>
            </w:r>
          </w:p>
        </w:tc>
      </w:tr>
      <w:tr w:rsidR="005564D4" w:rsidRPr="009A10F2" w:rsidTr="004B13C5">
        <w:trPr>
          <w:cantSplit/>
          <w:trHeight w:val="385"/>
        </w:trPr>
        <w:tc>
          <w:tcPr>
            <w:tcW w:w="314" w:type="pct"/>
          </w:tcPr>
          <w:p w:rsidR="005564D4" w:rsidRPr="009A10F2" w:rsidRDefault="005564D4" w:rsidP="00381AAC">
            <w:pPr>
              <w:tabs>
                <w:tab w:val="center" w:pos="351"/>
              </w:tabs>
              <w:spacing w:beforeLines="60" w:afterLines="60"/>
              <w:rPr>
                <w:rFonts w:ascii="Verdana" w:hAnsi="Verdana" w:cs="Arial"/>
                <w:sz w:val="16"/>
                <w:szCs w:val="16"/>
              </w:rPr>
            </w:pPr>
            <w:r>
              <w:rPr>
                <w:rFonts w:ascii="Verdana" w:hAnsi="Verdana" w:cs="Arial"/>
                <w:sz w:val="16"/>
                <w:szCs w:val="16"/>
              </w:rPr>
              <w:tab/>
            </w: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5564D4" w:rsidRDefault="005564D4" w:rsidP="00381AAC">
            <w:pPr>
              <w:autoSpaceDE w:val="0"/>
              <w:autoSpaceDN w:val="0"/>
              <w:adjustRightInd w:val="0"/>
              <w:spacing w:beforeLines="60" w:afterLines="60"/>
              <w:ind w:left="360"/>
              <w:rPr>
                <w:rFonts w:ascii="Verdana" w:hAnsi="Verdana" w:cs="Arial"/>
                <w:sz w:val="20"/>
                <w:szCs w:val="20"/>
              </w:rPr>
            </w:pPr>
            <w:r w:rsidRPr="007D1E9B">
              <w:rPr>
                <w:rFonts w:ascii="Verdana" w:hAnsi="Verdana" w:cs="Arial"/>
                <w:b/>
                <w:sz w:val="20"/>
                <w:szCs w:val="20"/>
              </w:rPr>
              <w:t>Bureau of Commercial Recording</w:t>
            </w:r>
            <w:r w:rsidRPr="007D1E9B">
              <w:rPr>
                <w:rFonts w:ascii="Verdana" w:hAnsi="Verdana" w:cs="Arial"/>
                <w:sz w:val="20"/>
                <w:szCs w:val="20"/>
              </w:rPr>
              <w:t xml:space="preserve"> is responsible for filing commercial recordings related to: Business Entities, Trademarks/Service Marks, Judgment Liens, Federal Lien Registrations, Fictitious Names, Notary Commissions and Cable Franchises.</w:t>
            </w:r>
            <w:r w:rsidR="00B801C6">
              <w:rPr>
                <w:rFonts w:ascii="Verdana" w:hAnsi="Verdana" w:cs="Arial"/>
                <w:sz w:val="20"/>
                <w:szCs w:val="20"/>
              </w:rPr>
              <w:t xml:space="preserve"> The Bureau annually files in excess of a million documents in regards to commercial recording. </w:t>
            </w:r>
          </w:p>
          <w:p w:rsidR="00B801C6" w:rsidRPr="00B801C6" w:rsidRDefault="00B801C6" w:rsidP="00381AAC">
            <w:pPr>
              <w:autoSpaceDE w:val="0"/>
              <w:autoSpaceDN w:val="0"/>
              <w:adjustRightInd w:val="0"/>
              <w:spacing w:beforeLines="60" w:afterLines="60"/>
              <w:ind w:left="401"/>
              <w:rPr>
                <w:rFonts w:ascii="Verdana" w:hAnsi="Verdana" w:cs="Arial"/>
                <w:i/>
                <w:sz w:val="20"/>
                <w:szCs w:val="20"/>
              </w:rPr>
            </w:pPr>
            <w:r w:rsidRPr="00B801C6">
              <w:rPr>
                <w:rFonts w:ascii="Verdana" w:hAnsi="Verdana" w:cs="Arial"/>
                <w:i/>
                <w:sz w:val="20"/>
                <w:szCs w:val="20"/>
              </w:rPr>
              <w:t xml:space="preserve">See OPPAGA Report Tab </w:t>
            </w:r>
            <w:r w:rsidR="00381AAC">
              <w:rPr>
                <w:rFonts w:ascii="Verdana" w:hAnsi="Verdana" w:cs="Arial"/>
                <w:i/>
                <w:sz w:val="20"/>
                <w:szCs w:val="20"/>
              </w:rPr>
              <w:t>2B</w:t>
            </w:r>
          </w:p>
          <w:p w:rsidR="005564D4" w:rsidRPr="009A10F2" w:rsidRDefault="00B801C6" w:rsidP="00381AAC">
            <w:pPr>
              <w:autoSpaceDE w:val="0"/>
              <w:autoSpaceDN w:val="0"/>
              <w:adjustRightInd w:val="0"/>
              <w:spacing w:beforeLines="60" w:afterLines="60"/>
              <w:ind w:left="401"/>
              <w:rPr>
                <w:rFonts w:ascii="Verdana" w:hAnsi="Verdana" w:cs="Arial"/>
                <w:sz w:val="20"/>
                <w:szCs w:val="20"/>
              </w:rPr>
            </w:pPr>
            <w:r w:rsidRPr="00B801C6">
              <w:rPr>
                <w:rFonts w:ascii="Verdana" w:hAnsi="Verdana" w:cs="Arial"/>
                <w:sz w:val="20"/>
                <w:szCs w:val="20"/>
              </w:rPr>
              <w:t>OPPAGA</w:t>
            </w:r>
            <w:r>
              <w:rPr>
                <w:rFonts w:ascii="Verdana" w:hAnsi="Verdana" w:cs="Arial"/>
                <w:sz w:val="20"/>
                <w:szCs w:val="20"/>
              </w:rPr>
              <w:t xml:space="preserve"> </w:t>
            </w:r>
            <w:r w:rsidRPr="00B801C6">
              <w:rPr>
                <w:rFonts w:ascii="Verdana" w:hAnsi="Verdana" w:cs="Arial"/>
                <w:sz w:val="20"/>
                <w:szCs w:val="20"/>
              </w:rPr>
              <w:t>examined options for consolidating the business</w:t>
            </w:r>
            <w:r>
              <w:rPr>
                <w:rFonts w:ascii="Verdana" w:hAnsi="Verdana" w:cs="Arial"/>
                <w:sz w:val="20"/>
                <w:szCs w:val="20"/>
              </w:rPr>
              <w:t xml:space="preserve"> </w:t>
            </w:r>
            <w:r w:rsidRPr="00B801C6">
              <w:rPr>
                <w:rFonts w:ascii="Verdana" w:hAnsi="Verdana" w:cs="Arial"/>
                <w:sz w:val="20"/>
                <w:szCs w:val="20"/>
              </w:rPr>
              <w:t>and tax registration functions currently residing</w:t>
            </w:r>
            <w:r>
              <w:rPr>
                <w:rFonts w:ascii="Verdana" w:hAnsi="Verdana" w:cs="Arial"/>
                <w:sz w:val="20"/>
                <w:szCs w:val="20"/>
              </w:rPr>
              <w:t xml:space="preserve"> </w:t>
            </w:r>
            <w:r w:rsidRPr="00B801C6">
              <w:rPr>
                <w:rFonts w:ascii="Verdana" w:hAnsi="Verdana" w:cs="Arial"/>
                <w:sz w:val="20"/>
                <w:szCs w:val="20"/>
              </w:rPr>
              <w:t>within multiple state agencies and establishing</w:t>
            </w:r>
            <w:r>
              <w:rPr>
                <w:rFonts w:ascii="Verdana" w:hAnsi="Verdana" w:cs="Arial"/>
                <w:sz w:val="20"/>
                <w:szCs w:val="20"/>
              </w:rPr>
              <w:t xml:space="preserve"> </w:t>
            </w:r>
            <w:r w:rsidRPr="00B801C6">
              <w:rPr>
                <w:rFonts w:ascii="Verdana" w:hAnsi="Verdana" w:cs="Arial"/>
                <w:sz w:val="20"/>
                <w:szCs w:val="20"/>
              </w:rPr>
              <w:t>an online business one-stop portal.</w:t>
            </w:r>
          </w:p>
        </w:tc>
      </w:tr>
      <w:tr w:rsidR="005564D4" w:rsidRPr="009A10F2" w:rsidTr="004B13C5">
        <w:trPr>
          <w:cantSplit/>
          <w:trHeight w:val="385"/>
        </w:trPr>
        <w:tc>
          <w:tcPr>
            <w:tcW w:w="314" w:type="pct"/>
          </w:tcPr>
          <w:p w:rsidR="005564D4" w:rsidRPr="009A10F2" w:rsidRDefault="005564D4" w:rsidP="00381AAC">
            <w:pPr>
              <w:spacing w:beforeLines="60" w:afterLines="60"/>
              <w:rPr>
                <w:rFonts w:ascii="Verdana" w:hAnsi="Verdana" w:cs="Arial"/>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5564D4">
        <w:trPr>
          <w:cantSplit/>
          <w:trHeight w:val="470"/>
        </w:trPr>
        <w:tc>
          <w:tcPr>
            <w:tcW w:w="314" w:type="pct"/>
          </w:tcPr>
          <w:p w:rsidR="005564D4" w:rsidRPr="009A10F2" w:rsidRDefault="005564D4" w:rsidP="00381AAC">
            <w:pPr>
              <w:spacing w:beforeLines="60" w:afterLines="60"/>
              <w:rPr>
                <w:rFonts w:ascii="Verdana" w:hAnsi="Verdana" w:cs="Arial"/>
                <w:i/>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B801C6">
        <w:trPr>
          <w:cantSplit/>
          <w:trHeight w:val="755"/>
        </w:trPr>
        <w:tc>
          <w:tcPr>
            <w:tcW w:w="694" w:type="pct"/>
            <w:gridSpan w:val="2"/>
          </w:tcPr>
          <w:p w:rsidR="005564D4" w:rsidRPr="009A10F2" w:rsidRDefault="005564D4" w:rsidP="00381AAC">
            <w:pPr>
              <w:spacing w:beforeLines="60" w:afterLines="60"/>
              <w:rPr>
                <w:rFonts w:ascii="Verdana" w:hAnsi="Verdana" w:cs="Arial"/>
                <w:i/>
                <w:sz w:val="16"/>
                <w:szCs w:val="16"/>
              </w:rPr>
            </w:pP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5564D4">
        <w:trPr>
          <w:cantSplit/>
          <w:trHeight w:val="503"/>
        </w:trPr>
        <w:tc>
          <w:tcPr>
            <w:tcW w:w="314" w:type="pct"/>
          </w:tcPr>
          <w:p w:rsidR="005564D4" w:rsidRPr="009A10F2" w:rsidRDefault="005564D4" w:rsidP="00381AAC">
            <w:pPr>
              <w:spacing w:beforeLines="60" w:afterLines="60"/>
              <w:jc w:val="center"/>
              <w:rPr>
                <w:rFonts w:ascii="Verdana" w:hAnsi="Verdana" w:cs="Arial"/>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5564D4" w:rsidRDefault="005564D4" w:rsidP="00381AAC">
            <w:pPr>
              <w:autoSpaceDE w:val="0"/>
              <w:autoSpaceDN w:val="0"/>
              <w:adjustRightInd w:val="0"/>
              <w:spacing w:beforeLines="60" w:afterLines="60"/>
              <w:ind w:left="360"/>
              <w:rPr>
                <w:rFonts w:ascii="Verdana" w:hAnsi="Verdana" w:cs="Arial"/>
                <w:sz w:val="20"/>
                <w:szCs w:val="20"/>
              </w:rPr>
            </w:pPr>
            <w:r w:rsidRPr="007D1E9B">
              <w:rPr>
                <w:rFonts w:ascii="Verdana" w:hAnsi="Verdana" w:cs="Arial"/>
                <w:b/>
                <w:sz w:val="20"/>
                <w:szCs w:val="20"/>
              </w:rPr>
              <w:t>Bureau of Commercial Information Services</w:t>
            </w:r>
            <w:r w:rsidRPr="007D1E9B">
              <w:rPr>
                <w:rFonts w:ascii="Verdana" w:hAnsi="Verdana" w:cs="Arial"/>
                <w:sz w:val="20"/>
                <w:szCs w:val="20"/>
              </w:rPr>
              <w:t xml:space="preserve"> – is responsible for document intake, management and imaging, and for supplying information and certifications relative to commercial filings. Its functions include: mail operations; validations (revenue collections); document distribution; document imaging; certification of commercial recordings; authentication of elected/appointed officials and notaries public (Apostilles for Hague Countries); substitute service of process; electronic filing and public support</w:t>
            </w:r>
            <w:r>
              <w:rPr>
                <w:rFonts w:ascii="Verdana" w:hAnsi="Verdana" w:cs="Arial"/>
                <w:sz w:val="20"/>
                <w:szCs w:val="20"/>
              </w:rPr>
              <w:t>.</w:t>
            </w:r>
            <w:r w:rsidR="00B801C6">
              <w:rPr>
                <w:rFonts w:ascii="Verdana" w:hAnsi="Verdana" w:cs="Arial"/>
                <w:sz w:val="20"/>
                <w:szCs w:val="20"/>
              </w:rPr>
              <w:t xml:space="preserve"> The Bureau manages over four million documents and communications annually.</w:t>
            </w:r>
          </w:p>
          <w:p w:rsidR="00F77BCD" w:rsidRDefault="00F77BCD" w:rsidP="00381AAC">
            <w:pPr>
              <w:autoSpaceDE w:val="0"/>
              <w:autoSpaceDN w:val="0"/>
              <w:adjustRightInd w:val="0"/>
              <w:spacing w:beforeLines="60" w:afterLines="60"/>
              <w:ind w:left="360"/>
              <w:rPr>
                <w:rFonts w:ascii="Verdana" w:hAnsi="Verdana" w:cs="Arial"/>
                <w:sz w:val="20"/>
                <w:szCs w:val="20"/>
              </w:rPr>
            </w:pPr>
            <w:r w:rsidRPr="00BA2F51">
              <w:rPr>
                <w:rFonts w:ascii="Verdana" w:hAnsi="Verdana" w:cs="Arial"/>
                <w:i/>
                <w:sz w:val="20"/>
                <w:szCs w:val="20"/>
              </w:rPr>
              <w:t xml:space="preserve">See White Paper Tab </w:t>
            </w:r>
            <w:r w:rsidR="00381AAC">
              <w:rPr>
                <w:rFonts w:ascii="Verdana" w:hAnsi="Verdana" w:cs="Arial"/>
                <w:i/>
                <w:sz w:val="20"/>
                <w:szCs w:val="20"/>
              </w:rPr>
              <w:t>2A</w:t>
            </w:r>
          </w:p>
          <w:p w:rsidR="005564D4" w:rsidRPr="009A10F2" w:rsidRDefault="005564D4" w:rsidP="00381AAC">
            <w:pPr>
              <w:autoSpaceDE w:val="0"/>
              <w:autoSpaceDN w:val="0"/>
              <w:adjustRightInd w:val="0"/>
              <w:spacing w:beforeLines="60" w:afterLines="60"/>
              <w:ind w:left="360"/>
              <w:rPr>
                <w:rFonts w:ascii="Verdana" w:hAnsi="Verdana" w:cs="Arial"/>
                <w:sz w:val="20"/>
                <w:szCs w:val="20"/>
              </w:rPr>
            </w:pPr>
            <w:r w:rsidRPr="00EA500E">
              <w:rPr>
                <w:rFonts w:ascii="Verdana" w:hAnsi="Verdana" w:cs="Arial"/>
                <w:sz w:val="20"/>
                <w:szCs w:val="20"/>
              </w:rPr>
              <w:t>Currently, DOS and the</w:t>
            </w:r>
            <w:r>
              <w:rPr>
                <w:rFonts w:ascii="Verdana" w:hAnsi="Verdana" w:cs="Arial"/>
                <w:sz w:val="20"/>
                <w:szCs w:val="20"/>
              </w:rPr>
              <w:t xml:space="preserve"> </w:t>
            </w:r>
            <w:r w:rsidRPr="00EA500E">
              <w:rPr>
                <w:rFonts w:ascii="Verdana" w:hAnsi="Verdana" w:cs="Arial"/>
                <w:sz w:val="20"/>
                <w:szCs w:val="20"/>
              </w:rPr>
              <w:t>Executive Office of</w:t>
            </w:r>
            <w:r>
              <w:rPr>
                <w:rFonts w:ascii="Verdana" w:hAnsi="Verdana" w:cs="Arial"/>
                <w:sz w:val="20"/>
                <w:szCs w:val="20"/>
              </w:rPr>
              <w:t xml:space="preserve"> </w:t>
            </w:r>
            <w:r w:rsidRPr="00EA500E">
              <w:rPr>
                <w:rFonts w:ascii="Verdana" w:hAnsi="Verdana" w:cs="Arial"/>
                <w:sz w:val="20"/>
                <w:szCs w:val="20"/>
              </w:rPr>
              <w:t>the Governor (EOG) share responsibilities for</w:t>
            </w:r>
            <w:r>
              <w:rPr>
                <w:rFonts w:ascii="Verdana" w:hAnsi="Verdana" w:cs="Arial"/>
                <w:sz w:val="20"/>
                <w:szCs w:val="20"/>
              </w:rPr>
              <w:t xml:space="preserve"> </w:t>
            </w:r>
            <w:r w:rsidRPr="00EA500E">
              <w:rPr>
                <w:rFonts w:ascii="Verdana" w:hAnsi="Verdana" w:cs="Arial"/>
                <w:sz w:val="20"/>
                <w:szCs w:val="20"/>
              </w:rPr>
              <w:t>administering the notary program. The EOG appoints, investigates complaints,</w:t>
            </w:r>
            <w:r>
              <w:rPr>
                <w:rFonts w:ascii="Verdana" w:hAnsi="Verdana" w:cs="Arial"/>
                <w:sz w:val="20"/>
                <w:szCs w:val="20"/>
              </w:rPr>
              <w:t xml:space="preserve"> </w:t>
            </w:r>
            <w:r w:rsidRPr="00EA500E">
              <w:rPr>
                <w:rFonts w:ascii="Verdana" w:hAnsi="Verdana" w:cs="Arial"/>
                <w:sz w:val="20"/>
                <w:szCs w:val="20"/>
              </w:rPr>
              <w:t>and suspends notary publics. The DOS issues notary public commissions and</w:t>
            </w:r>
            <w:r>
              <w:rPr>
                <w:rFonts w:ascii="Verdana" w:hAnsi="Verdana" w:cs="Arial"/>
                <w:sz w:val="20"/>
                <w:szCs w:val="20"/>
              </w:rPr>
              <w:t xml:space="preserve"> </w:t>
            </w:r>
            <w:r w:rsidRPr="00EA500E">
              <w:rPr>
                <w:rFonts w:ascii="Verdana" w:hAnsi="Verdana" w:cs="Arial"/>
                <w:sz w:val="20"/>
                <w:szCs w:val="20"/>
              </w:rPr>
              <w:t>certifications of notary public's status, records the results of actions taken by the</w:t>
            </w:r>
            <w:r>
              <w:rPr>
                <w:rFonts w:ascii="Verdana" w:hAnsi="Verdana" w:cs="Arial"/>
                <w:sz w:val="20"/>
                <w:szCs w:val="20"/>
              </w:rPr>
              <w:t xml:space="preserve"> </w:t>
            </w:r>
            <w:r w:rsidRPr="00EA500E">
              <w:rPr>
                <w:rFonts w:ascii="Verdana" w:hAnsi="Verdana" w:cs="Arial"/>
                <w:sz w:val="20"/>
                <w:szCs w:val="20"/>
              </w:rPr>
              <w:t>EOG against a notary public, and approves and records the required bond.</w:t>
            </w:r>
            <w:r>
              <w:rPr>
                <w:rFonts w:ascii="Verdana" w:hAnsi="Verdana" w:cs="Arial"/>
                <w:sz w:val="20"/>
                <w:szCs w:val="20"/>
              </w:rPr>
              <w:t xml:space="preserve"> </w:t>
            </w:r>
          </w:p>
        </w:tc>
      </w:tr>
      <w:tr w:rsidR="005564D4" w:rsidRPr="009A10F2" w:rsidTr="005564D4">
        <w:trPr>
          <w:cantSplit/>
          <w:trHeight w:val="503"/>
        </w:trPr>
        <w:tc>
          <w:tcPr>
            <w:tcW w:w="314" w:type="pct"/>
          </w:tcPr>
          <w:p w:rsidR="005564D4" w:rsidRPr="009A10F2" w:rsidRDefault="005564D4" w:rsidP="00381AAC">
            <w:pPr>
              <w:spacing w:beforeLines="60" w:afterLines="60"/>
              <w:rPr>
                <w:rFonts w:ascii="Verdana" w:hAnsi="Verdana" w:cs="Arial"/>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5564D4">
        <w:trPr>
          <w:cantSplit/>
          <w:trHeight w:val="486"/>
        </w:trPr>
        <w:tc>
          <w:tcPr>
            <w:tcW w:w="314" w:type="pct"/>
          </w:tcPr>
          <w:p w:rsidR="005564D4" w:rsidRPr="009A10F2" w:rsidRDefault="005564D4" w:rsidP="00381AAC">
            <w:pPr>
              <w:spacing w:beforeLines="60" w:afterLines="60"/>
              <w:rPr>
                <w:rFonts w:ascii="Verdana" w:hAnsi="Verdana" w:cs="Arial"/>
                <w:i/>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B801C6">
        <w:trPr>
          <w:cantSplit/>
          <w:trHeight w:val="1529"/>
        </w:trPr>
        <w:tc>
          <w:tcPr>
            <w:tcW w:w="694" w:type="pct"/>
            <w:gridSpan w:val="2"/>
          </w:tcPr>
          <w:p w:rsidR="005564D4" w:rsidRPr="009A10F2" w:rsidRDefault="005564D4" w:rsidP="00381AAC">
            <w:pPr>
              <w:spacing w:beforeLines="60" w:afterLines="60"/>
              <w:rPr>
                <w:rFonts w:ascii="Verdana" w:hAnsi="Verdana" w:cs="Arial"/>
                <w:i/>
                <w:sz w:val="16"/>
                <w:szCs w:val="16"/>
              </w:rPr>
            </w:pP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7D1E9B" w:rsidRPr="009A10F2" w:rsidTr="00A603A9">
        <w:trPr>
          <w:cantSplit/>
          <w:trHeight w:val="385"/>
        </w:trPr>
        <w:tc>
          <w:tcPr>
            <w:tcW w:w="5000" w:type="pct"/>
            <w:gridSpan w:val="3"/>
            <w:shd w:val="clear" w:color="auto" w:fill="BFBFBF" w:themeFill="background1" w:themeFillShade="BF"/>
          </w:tcPr>
          <w:p w:rsidR="007D1E9B" w:rsidRPr="0013670A" w:rsidRDefault="007D1E9B" w:rsidP="00381AAC">
            <w:pPr>
              <w:autoSpaceDE w:val="0"/>
              <w:autoSpaceDN w:val="0"/>
              <w:adjustRightInd w:val="0"/>
              <w:spacing w:beforeLines="60" w:afterLines="60"/>
              <w:ind w:left="810"/>
              <w:rPr>
                <w:rFonts w:ascii="Verdana" w:hAnsi="Verdana" w:cs="Arial"/>
                <w:b/>
                <w:sz w:val="20"/>
                <w:szCs w:val="20"/>
              </w:rPr>
            </w:pPr>
            <w:r w:rsidRPr="0013670A">
              <w:rPr>
                <w:rFonts w:ascii="Verdana" w:hAnsi="Verdana" w:cs="Arial"/>
                <w:b/>
                <w:sz w:val="20"/>
                <w:szCs w:val="20"/>
              </w:rPr>
              <w:t>Elections</w:t>
            </w:r>
            <w:r w:rsidR="002110B1">
              <w:rPr>
                <w:rFonts w:ascii="Verdana" w:hAnsi="Verdana" w:cs="Arial"/>
                <w:b/>
                <w:sz w:val="20"/>
                <w:szCs w:val="20"/>
              </w:rPr>
              <w:t xml:space="preserve">:     </w:t>
            </w:r>
            <w:r w:rsidRPr="0013670A">
              <w:rPr>
                <w:rFonts w:ascii="Verdana" w:hAnsi="Verdana" w:cs="Arial"/>
                <w:b/>
                <w:sz w:val="20"/>
                <w:szCs w:val="20"/>
              </w:rPr>
              <w:t>$12.8 million</w:t>
            </w:r>
            <w:r w:rsidR="002110B1">
              <w:rPr>
                <w:rFonts w:ascii="Verdana" w:hAnsi="Verdana" w:cs="Arial"/>
                <w:b/>
                <w:sz w:val="20"/>
                <w:szCs w:val="20"/>
              </w:rPr>
              <w:t xml:space="preserve">     </w:t>
            </w:r>
            <w:r w:rsidRPr="0013670A">
              <w:rPr>
                <w:rFonts w:ascii="Verdana" w:hAnsi="Verdana" w:cs="Arial"/>
                <w:b/>
                <w:sz w:val="20"/>
                <w:szCs w:val="20"/>
              </w:rPr>
              <w:t xml:space="preserve"> 55 FTE</w:t>
            </w:r>
            <w:r w:rsidR="002110B1">
              <w:rPr>
                <w:rFonts w:ascii="Verdana" w:hAnsi="Verdana" w:cs="Arial"/>
                <w:b/>
                <w:sz w:val="20"/>
                <w:szCs w:val="20"/>
              </w:rPr>
              <w:t xml:space="preserve">    </w:t>
            </w:r>
            <w:r w:rsidRPr="0013670A">
              <w:rPr>
                <w:rFonts w:ascii="Verdana" w:hAnsi="Verdana" w:cs="Arial"/>
                <w:b/>
                <w:sz w:val="20"/>
                <w:szCs w:val="20"/>
              </w:rPr>
              <w:t xml:space="preserve"> 28 OPS</w:t>
            </w:r>
          </w:p>
        </w:tc>
      </w:tr>
      <w:tr w:rsidR="0096734F" w:rsidRPr="009A10F2" w:rsidTr="004B13C5">
        <w:trPr>
          <w:cantSplit/>
          <w:trHeight w:val="385"/>
        </w:trPr>
        <w:tc>
          <w:tcPr>
            <w:tcW w:w="314" w:type="pct"/>
          </w:tcPr>
          <w:p w:rsidR="0096734F" w:rsidRPr="009A10F2" w:rsidRDefault="0096734F" w:rsidP="00381AAC">
            <w:pPr>
              <w:spacing w:beforeLines="60" w:afterLines="60"/>
              <w:jc w:val="center"/>
              <w:rPr>
                <w:rFonts w:ascii="Verdana" w:hAnsi="Verdana" w:cs="Arial"/>
                <w:sz w:val="16"/>
                <w:szCs w:val="16"/>
              </w:rPr>
            </w:pPr>
          </w:p>
        </w:tc>
        <w:tc>
          <w:tcPr>
            <w:tcW w:w="380" w:type="pct"/>
          </w:tcPr>
          <w:p w:rsidR="0096734F" w:rsidRPr="009A10F2" w:rsidRDefault="0096734F"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96734F" w:rsidRPr="009A10F2" w:rsidRDefault="007D1E9B" w:rsidP="00381AAC">
            <w:pPr>
              <w:autoSpaceDE w:val="0"/>
              <w:autoSpaceDN w:val="0"/>
              <w:adjustRightInd w:val="0"/>
              <w:spacing w:beforeLines="60" w:afterLines="60"/>
              <w:ind w:left="360"/>
              <w:rPr>
                <w:rFonts w:ascii="Verdana" w:hAnsi="Verdana" w:cs="Arial"/>
                <w:sz w:val="20"/>
                <w:szCs w:val="20"/>
              </w:rPr>
            </w:pPr>
            <w:r w:rsidRPr="007D1E9B">
              <w:rPr>
                <w:rFonts w:ascii="Verdana" w:hAnsi="Verdana" w:cs="Arial"/>
                <w:b/>
                <w:sz w:val="20"/>
                <w:szCs w:val="20"/>
              </w:rPr>
              <w:t>Bureau of Voter Registration</w:t>
            </w:r>
            <w:r w:rsidRPr="007D1E9B">
              <w:rPr>
                <w:rFonts w:ascii="Verdana" w:hAnsi="Verdana" w:cs="Arial"/>
                <w:sz w:val="20"/>
                <w:szCs w:val="20"/>
              </w:rPr>
              <w:t xml:space="preserve"> - </w:t>
            </w:r>
            <w:r w:rsidR="0013670A" w:rsidRPr="0013670A">
              <w:rPr>
                <w:rFonts w:ascii="Verdana" w:hAnsi="Verdana" w:cs="Arial"/>
                <w:sz w:val="20"/>
                <w:szCs w:val="20"/>
              </w:rPr>
              <w:t>The Bureau of Voter Registration Services (BVRS) was established in 2005 to meet the requirements of the federal Help America Vote Act of 2002 (HAVA). HAVA mandates that each state establishes and maintains a single, official, centralized, interactive computerized statewide voter registration system with statewide voter registration access.</w:t>
            </w:r>
            <w:r w:rsidR="00D2689A">
              <w:rPr>
                <w:rFonts w:ascii="Verdana" w:hAnsi="Verdana" w:cs="Arial"/>
                <w:sz w:val="20"/>
                <w:szCs w:val="20"/>
              </w:rPr>
              <w:t xml:space="preserve"> The Bureau processes voter registration applications and changes to registrations, reviews personal identifying numbers of voter registration applicants not verified by external agency databases and identifies potentially ineligible voters and provides information to counties for removal process.</w:t>
            </w:r>
          </w:p>
        </w:tc>
      </w:tr>
      <w:tr w:rsidR="0096734F" w:rsidRPr="009A10F2" w:rsidTr="004B13C5">
        <w:trPr>
          <w:cantSplit/>
          <w:trHeight w:val="385"/>
        </w:trPr>
        <w:tc>
          <w:tcPr>
            <w:tcW w:w="314" w:type="pct"/>
          </w:tcPr>
          <w:p w:rsidR="0096734F" w:rsidRPr="009A10F2" w:rsidRDefault="0096734F" w:rsidP="00381AAC">
            <w:pPr>
              <w:spacing w:beforeLines="60" w:afterLines="60"/>
              <w:rPr>
                <w:rFonts w:ascii="Verdana" w:hAnsi="Verdana" w:cs="Arial"/>
                <w:sz w:val="16"/>
                <w:szCs w:val="16"/>
              </w:rPr>
            </w:pPr>
          </w:p>
        </w:tc>
        <w:tc>
          <w:tcPr>
            <w:tcW w:w="380" w:type="pct"/>
          </w:tcPr>
          <w:p w:rsidR="0096734F" w:rsidRPr="009A10F2" w:rsidRDefault="0096734F"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96734F" w:rsidRPr="009A10F2" w:rsidRDefault="0096734F" w:rsidP="00381AAC">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385"/>
        </w:trPr>
        <w:tc>
          <w:tcPr>
            <w:tcW w:w="314" w:type="pct"/>
          </w:tcPr>
          <w:p w:rsidR="0096734F" w:rsidRPr="009A10F2" w:rsidRDefault="0096734F" w:rsidP="00381AAC">
            <w:pPr>
              <w:spacing w:beforeLines="60" w:afterLines="60"/>
              <w:rPr>
                <w:rFonts w:ascii="Verdana" w:hAnsi="Verdana" w:cs="Arial"/>
                <w:sz w:val="16"/>
                <w:szCs w:val="16"/>
              </w:rPr>
            </w:pPr>
          </w:p>
        </w:tc>
        <w:tc>
          <w:tcPr>
            <w:tcW w:w="380" w:type="pct"/>
          </w:tcPr>
          <w:p w:rsidR="0096734F" w:rsidRPr="009A10F2" w:rsidRDefault="0096734F"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96734F" w:rsidRPr="009A10F2" w:rsidRDefault="0096734F" w:rsidP="00381AAC">
            <w:pPr>
              <w:autoSpaceDE w:val="0"/>
              <w:autoSpaceDN w:val="0"/>
              <w:adjustRightInd w:val="0"/>
              <w:spacing w:beforeLines="60" w:afterLines="60"/>
              <w:rPr>
                <w:rFonts w:ascii="Verdana" w:hAnsi="Verdana" w:cs="Arial"/>
                <w:sz w:val="20"/>
                <w:szCs w:val="20"/>
              </w:rPr>
            </w:pPr>
          </w:p>
        </w:tc>
      </w:tr>
    </w:tbl>
    <w:p w:rsidR="00F612AA" w:rsidRDefault="00F612A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5564D4" w:rsidRPr="009A10F2" w:rsidTr="004B13C5">
        <w:trPr>
          <w:cantSplit/>
          <w:trHeight w:val="470"/>
        </w:trPr>
        <w:tc>
          <w:tcPr>
            <w:tcW w:w="314" w:type="pct"/>
          </w:tcPr>
          <w:p w:rsidR="005564D4" w:rsidRPr="009A10F2" w:rsidRDefault="005564D4" w:rsidP="00381AAC">
            <w:pPr>
              <w:autoSpaceDE w:val="0"/>
              <w:autoSpaceDN w:val="0"/>
              <w:adjustRightInd w:val="0"/>
              <w:spacing w:beforeLines="60" w:afterLines="60"/>
              <w:jc w:val="center"/>
              <w:rPr>
                <w:rFonts w:ascii="Verdana" w:hAnsi="Verdana" w:cs="Arial"/>
                <w:sz w:val="16"/>
                <w:szCs w:val="16"/>
              </w:rPr>
            </w:pPr>
          </w:p>
        </w:tc>
        <w:tc>
          <w:tcPr>
            <w:tcW w:w="380" w:type="pct"/>
          </w:tcPr>
          <w:p w:rsidR="005564D4" w:rsidRPr="009A10F2" w:rsidRDefault="005564D4" w:rsidP="00381AAC">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5564D4" w:rsidRPr="009A10F2" w:rsidRDefault="005564D4" w:rsidP="00381AAC">
            <w:pPr>
              <w:autoSpaceDE w:val="0"/>
              <w:autoSpaceDN w:val="0"/>
              <w:adjustRightInd w:val="0"/>
              <w:spacing w:beforeLines="60" w:afterLines="60"/>
              <w:ind w:left="360"/>
              <w:rPr>
                <w:rFonts w:ascii="Verdana" w:hAnsi="Verdana" w:cs="Arial"/>
                <w:sz w:val="20"/>
                <w:szCs w:val="20"/>
              </w:rPr>
            </w:pPr>
            <w:r w:rsidRPr="007D1E9B">
              <w:rPr>
                <w:rFonts w:ascii="Verdana" w:hAnsi="Verdana" w:cs="Arial"/>
                <w:b/>
                <w:sz w:val="20"/>
                <w:szCs w:val="20"/>
              </w:rPr>
              <w:t>Bureau of Voting Systems Certification</w:t>
            </w:r>
            <w:r w:rsidRPr="007D1E9B">
              <w:rPr>
                <w:rFonts w:ascii="Verdana" w:hAnsi="Verdana" w:cs="Arial"/>
                <w:sz w:val="20"/>
                <w:szCs w:val="20"/>
              </w:rPr>
              <w:t xml:space="preserve"> - </w:t>
            </w:r>
            <w:r w:rsidRPr="0013670A">
              <w:rPr>
                <w:rFonts w:ascii="Verdana" w:hAnsi="Verdana" w:cs="Arial"/>
                <w:sz w:val="20"/>
                <w:szCs w:val="20"/>
              </w:rPr>
              <w:t>Establishes and implements Florida’s voting systems certification standards as well as provides technical assistance to the county Supervisors of Elections on voting systems. The bureau performs the following functions: Voting System Standards, Voting Systems Certification Standards; Voting System Compliance; County Voting Systems Acquisition; Performance of Voting Systems; Election Conduct Reports; County Election Security Procedures; Election and Registration Process; County Logic and Accuracy Tests; Voting System Security and Precinct-Level Election Results.</w:t>
            </w:r>
          </w:p>
        </w:tc>
      </w:tr>
      <w:tr w:rsidR="005564D4" w:rsidRPr="009A10F2" w:rsidTr="004B13C5">
        <w:trPr>
          <w:cantSplit/>
          <w:trHeight w:val="470"/>
        </w:trPr>
        <w:tc>
          <w:tcPr>
            <w:tcW w:w="314" w:type="pct"/>
          </w:tcPr>
          <w:p w:rsidR="005564D4" w:rsidRPr="009A10F2" w:rsidRDefault="005564D4" w:rsidP="00381AAC">
            <w:pPr>
              <w:autoSpaceDE w:val="0"/>
              <w:autoSpaceDN w:val="0"/>
              <w:adjustRightInd w:val="0"/>
              <w:spacing w:beforeLines="60" w:afterLines="60"/>
              <w:rPr>
                <w:rFonts w:ascii="Verdana" w:hAnsi="Verdana" w:cs="Arial"/>
                <w:sz w:val="16"/>
                <w:szCs w:val="16"/>
              </w:rPr>
            </w:pPr>
          </w:p>
        </w:tc>
        <w:tc>
          <w:tcPr>
            <w:tcW w:w="380" w:type="pct"/>
          </w:tcPr>
          <w:p w:rsidR="005564D4" w:rsidRPr="009A10F2" w:rsidRDefault="005564D4" w:rsidP="00381AAC">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5564D4">
        <w:trPr>
          <w:cantSplit/>
          <w:trHeight w:val="337"/>
        </w:trPr>
        <w:tc>
          <w:tcPr>
            <w:tcW w:w="314" w:type="pct"/>
          </w:tcPr>
          <w:p w:rsidR="005564D4" w:rsidRPr="009A10F2" w:rsidRDefault="005564D4" w:rsidP="00381AAC">
            <w:pPr>
              <w:autoSpaceDE w:val="0"/>
              <w:autoSpaceDN w:val="0"/>
              <w:adjustRightInd w:val="0"/>
              <w:spacing w:beforeLines="60" w:afterLines="60"/>
              <w:rPr>
                <w:rFonts w:ascii="Verdana" w:hAnsi="Verdana" w:cs="Arial"/>
                <w:i/>
                <w:sz w:val="16"/>
                <w:szCs w:val="16"/>
              </w:rPr>
            </w:pPr>
          </w:p>
        </w:tc>
        <w:tc>
          <w:tcPr>
            <w:tcW w:w="380" w:type="pct"/>
          </w:tcPr>
          <w:p w:rsidR="005564D4" w:rsidRPr="009A10F2" w:rsidRDefault="005564D4" w:rsidP="00381AAC">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5564D4">
        <w:trPr>
          <w:cantSplit/>
          <w:trHeight w:val="337"/>
        </w:trPr>
        <w:tc>
          <w:tcPr>
            <w:tcW w:w="694" w:type="pct"/>
            <w:gridSpan w:val="2"/>
          </w:tcPr>
          <w:p w:rsidR="005564D4" w:rsidRPr="009A10F2" w:rsidRDefault="005564D4" w:rsidP="00381AAC">
            <w:pPr>
              <w:autoSpaceDE w:val="0"/>
              <w:autoSpaceDN w:val="0"/>
              <w:adjustRightInd w:val="0"/>
              <w:spacing w:beforeLines="60" w:afterLines="60"/>
              <w:rPr>
                <w:rFonts w:ascii="Verdana" w:hAnsi="Verdana" w:cs="Arial"/>
                <w:i/>
                <w:sz w:val="16"/>
                <w:szCs w:val="16"/>
              </w:rPr>
            </w:pP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4B13C5">
        <w:trPr>
          <w:cantSplit/>
          <w:trHeight w:val="470"/>
        </w:trPr>
        <w:tc>
          <w:tcPr>
            <w:tcW w:w="314" w:type="pct"/>
          </w:tcPr>
          <w:p w:rsidR="005564D4" w:rsidRPr="009A10F2" w:rsidRDefault="005564D4" w:rsidP="00381AAC">
            <w:pPr>
              <w:spacing w:beforeLines="60" w:afterLines="60"/>
              <w:jc w:val="center"/>
              <w:rPr>
                <w:rFonts w:ascii="Verdana" w:hAnsi="Verdana" w:cs="Arial"/>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5564D4" w:rsidRPr="009A10F2" w:rsidRDefault="005564D4" w:rsidP="00381AAC">
            <w:pPr>
              <w:autoSpaceDE w:val="0"/>
              <w:autoSpaceDN w:val="0"/>
              <w:adjustRightInd w:val="0"/>
              <w:spacing w:beforeLines="60" w:afterLines="60"/>
              <w:ind w:left="360"/>
              <w:rPr>
                <w:rFonts w:ascii="Verdana" w:hAnsi="Verdana" w:cs="Arial"/>
                <w:sz w:val="20"/>
                <w:szCs w:val="20"/>
              </w:rPr>
            </w:pPr>
            <w:r w:rsidRPr="007D1E9B">
              <w:rPr>
                <w:rFonts w:ascii="Verdana" w:hAnsi="Verdana" w:cs="Arial"/>
                <w:b/>
                <w:sz w:val="20"/>
                <w:szCs w:val="20"/>
              </w:rPr>
              <w:t>Bureau of Election Records</w:t>
            </w:r>
            <w:r w:rsidRPr="007D1E9B">
              <w:rPr>
                <w:rFonts w:ascii="Verdana" w:hAnsi="Verdana" w:cs="Arial"/>
                <w:sz w:val="20"/>
                <w:szCs w:val="20"/>
              </w:rPr>
              <w:t xml:space="preserve"> </w:t>
            </w:r>
            <w:r>
              <w:rPr>
                <w:rFonts w:ascii="Verdana" w:hAnsi="Verdana" w:cs="Arial"/>
                <w:sz w:val="20"/>
                <w:szCs w:val="20"/>
              </w:rPr>
              <w:t>–</w:t>
            </w:r>
            <w:r w:rsidRPr="007D1E9B">
              <w:rPr>
                <w:rFonts w:ascii="Verdana" w:hAnsi="Verdana" w:cs="Arial"/>
                <w:sz w:val="20"/>
                <w:szCs w:val="20"/>
              </w:rPr>
              <w:t xml:space="preserve"> </w:t>
            </w:r>
            <w:r w:rsidRPr="0013670A">
              <w:rPr>
                <w:rFonts w:ascii="Verdana" w:hAnsi="Verdana" w:cs="Arial"/>
                <w:sz w:val="20"/>
                <w:szCs w:val="20"/>
              </w:rPr>
              <w:t>The bureau assists in the preparation and distribution of various election booklets, pamphlets, and forms; conducts candidate qualifying; conducts workshops and training; and issues certificates of elections. The bureau handles all contribution and expenditure reports for candidates that qualify with the state, along with reports filed by political committees, committees of continuous existence, electioneering communications organizations, persons making independent expenditures of $100 or more, and state party executive committees. It also processes requests for public financing and conducts the audits of reports filed by gubernatorial and cabinet candidates that receive public financing. In addition, the bureau provides certified copies of candidate, committee, and party files to the Florida Elections Commission (FEC) for use at Commission hearings.</w:t>
            </w:r>
          </w:p>
        </w:tc>
      </w:tr>
      <w:tr w:rsidR="005564D4" w:rsidRPr="009A10F2" w:rsidTr="004B13C5">
        <w:trPr>
          <w:cantSplit/>
          <w:trHeight w:val="470"/>
        </w:trPr>
        <w:tc>
          <w:tcPr>
            <w:tcW w:w="314" w:type="pct"/>
          </w:tcPr>
          <w:p w:rsidR="005564D4" w:rsidRPr="009A10F2" w:rsidRDefault="005564D4" w:rsidP="00381AAC">
            <w:pPr>
              <w:spacing w:beforeLines="60" w:afterLines="60"/>
              <w:rPr>
                <w:rFonts w:ascii="Verdana" w:hAnsi="Verdana" w:cs="Arial"/>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5564D4">
        <w:trPr>
          <w:cantSplit/>
          <w:trHeight w:val="367"/>
        </w:trPr>
        <w:tc>
          <w:tcPr>
            <w:tcW w:w="314" w:type="pct"/>
          </w:tcPr>
          <w:p w:rsidR="005564D4" w:rsidRPr="009A10F2" w:rsidRDefault="005564D4" w:rsidP="00381AAC">
            <w:pPr>
              <w:spacing w:beforeLines="60" w:afterLines="60"/>
              <w:jc w:val="center"/>
              <w:rPr>
                <w:rFonts w:ascii="Verdana" w:hAnsi="Verdana" w:cs="Arial"/>
                <w:i/>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5564D4">
        <w:trPr>
          <w:cantSplit/>
          <w:trHeight w:val="975"/>
        </w:trPr>
        <w:tc>
          <w:tcPr>
            <w:tcW w:w="694" w:type="pct"/>
            <w:gridSpan w:val="2"/>
          </w:tcPr>
          <w:p w:rsidR="005564D4" w:rsidRPr="009A10F2" w:rsidRDefault="005564D4" w:rsidP="00381AAC">
            <w:pPr>
              <w:spacing w:beforeLines="60" w:afterLines="60"/>
              <w:jc w:val="center"/>
              <w:rPr>
                <w:rFonts w:ascii="Verdana" w:hAnsi="Verdana" w:cs="Arial"/>
                <w:i/>
                <w:sz w:val="16"/>
                <w:szCs w:val="16"/>
              </w:rPr>
            </w:pP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13670A" w:rsidRPr="009A10F2" w:rsidTr="00A603A9">
        <w:trPr>
          <w:cantSplit/>
          <w:trHeight w:val="470"/>
        </w:trPr>
        <w:tc>
          <w:tcPr>
            <w:tcW w:w="5000" w:type="pct"/>
            <w:gridSpan w:val="3"/>
            <w:shd w:val="clear" w:color="auto" w:fill="BFBFBF" w:themeFill="background1" w:themeFillShade="BF"/>
          </w:tcPr>
          <w:p w:rsidR="0013670A" w:rsidRPr="00ED60B5" w:rsidRDefault="0013670A" w:rsidP="00381AAC">
            <w:pPr>
              <w:tabs>
                <w:tab w:val="left" w:pos="180"/>
              </w:tabs>
              <w:autoSpaceDE w:val="0"/>
              <w:autoSpaceDN w:val="0"/>
              <w:adjustRightInd w:val="0"/>
              <w:spacing w:beforeLines="60" w:afterLines="60"/>
              <w:ind w:left="810"/>
              <w:rPr>
                <w:rFonts w:ascii="Verdana" w:hAnsi="Verdana"/>
                <w:b/>
                <w:sz w:val="20"/>
                <w:szCs w:val="20"/>
              </w:rPr>
            </w:pPr>
            <w:r w:rsidRPr="00ED60B5">
              <w:rPr>
                <w:rFonts w:ascii="Verdana" w:hAnsi="Verdana"/>
                <w:b/>
                <w:sz w:val="20"/>
                <w:szCs w:val="20"/>
              </w:rPr>
              <w:t>Division of Cultural Affairs</w:t>
            </w:r>
            <w:r w:rsidR="002110B1">
              <w:rPr>
                <w:rFonts w:ascii="Verdana" w:hAnsi="Verdana"/>
                <w:b/>
                <w:sz w:val="20"/>
                <w:szCs w:val="20"/>
              </w:rPr>
              <w:t>:      $</w:t>
            </w:r>
            <w:r w:rsidRPr="00ED60B5">
              <w:rPr>
                <w:rFonts w:ascii="Verdana" w:hAnsi="Verdana"/>
                <w:b/>
                <w:sz w:val="20"/>
                <w:szCs w:val="20"/>
              </w:rPr>
              <w:t>6.06 million</w:t>
            </w:r>
            <w:r w:rsidR="002110B1">
              <w:rPr>
                <w:rFonts w:ascii="Verdana" w:hAnsi="Verdana"/>
                <w:b/>
                <w:sz w:val="20"/>
                <w:szCs w:val="20"/>
              </w:rPr>
              <w:t xml:space="preserve">     </w:t>
            </w:r>
            <w:r w:rsidRPr="00ED60B5">
              <w:rPr>
                <w:rFonts w:ascii="Verdana" w:hAnsi="Verdana"/>
                <w:b/>
                <w:sz w:val="20"/>
                <w:szCs w:val="20"/>
              </w:rPr>
              <w:t xml:space="preserve"> 39 FTE</w:t>
            </w:r>
            <w:r w:rsidR="002110B1">
              <w:rPr>
                <w:rFonts w:ascii="Verdana" w:hAnsi="Verdana"/>
                <w:b/>
                <w:sz w:val="20"/>
                <w:szCs w:val="20"/>
              </w:rPr>
              <w:t xml:space="preserve">     </w:t>
            </w:r>
            <w:r w:rsidRPr="00ED60B5">
              <w:rPr>
                <w:rFonts w:ascii="Verdana" w:hAnsi="Verdana"/>
                <w:b/>
                <w:sz w:val="20"/>
                <w:szCs w:val="20"/>
              </w:rPr>
              <w:t xml:space="preserve"> 9 OPS</w:t>
            </w:r>
          </w:p>
        </w:tc>
      </w:tr>
      <w:tr w:rsidR="005564D4" w:rsidRPr="009A10F2" w:rsidTr="004B13C5">
        <w:trPr>
          <w:cantSplit/>
          <w:trHeight w:val="470"/>
        </w:trPr>
        <w:tc>
          <w:tcPr>
            <w:tcW w:w="314" w:type="pct"/>
          </w:tcPr>
          <w:p w:rsidR="005564D4" w:rsidRPr="009A10F2" w:rsidRDefault="005564D4" w:rsidP="00381AAC">
            <w:pPr>
              <w:spacing w:beforeLines="60" w:afterLines="60"/>
              <w:jc w:val="center"/>
              <w:rPr>
                <w:rFonts w:ascii="Verdana" w:hAnsi="Verdana" w:cs="Arial"/>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5564D4" w:rsidRDefault="005564D4" w:rsidP="00381AAC">
            <w:pPr>
              <w:autoSpaceDE w:val="0"/>
              <w:autoSpaceDN w:val="0"/>
              <w:adjustRightInd w:val="0"/>
              <w:spacing w:beforeLines="60" w:afterLines="60"/>
              <w:ind w:left="360"/>
              <w:rPr>
                <w:rFonts w:ascii="Verdana" w:hAnsi="Verdana"/>
                <w:sz w:val="20"/>
                <w:szCs w:val="20"/>
              </w:rPr>
            </w:pPr>
            <w:r w:rsidRPr="0013670A">
              <w:rPr>
                <w:rFonts w:ascii="Verdana" w:hAnsi="Verdana"/>
                <w:b/>
                <w:sz w:val="20"/>
                <w:szCs w:val="20"/>
              </w:rPr>
              <w:t>Grants and Artist Resources</w:t>
            </w:r>
            <w:r w:rsidRPr="0013670A">
              <w:rPr>
                <w:rFonts w:ascii="Verdana" w:hAnsi="Verdana"/>
                <w:sz w:val="20"/>
                <w:szCs w:val="20"/>
              </w:rPr>
              <w:t xml:space="preserve"> Provides grants and other services to individual artists, arts and cultural organizations, and local communities.</w:t>
            </w:r>
            <w:r>
              <w:rPr>
                <w:rFonts w:ascii="Verdana" w:hAnsi="Verdana"/>
                <w:sz w:val="20"/>
                <w:szCs w:val="20"/>
              </w:rPr>
              <w:t xml:space="preserve"> </w:t>
            </w:r>
          </w:p>
          <w:p w:rsidR="005564D4" w:rsidRPr="00861959" w:rsidRDefault="005564D4" w:rsidP="00381AAC">
            <w:pPr>
              <w:autoSpaceDE w:val="0"/>
              <w:autoSpaceDN w:val="0"/>
              <w:adjustRightInd w:val="0"/>
              <w:spacing w:beforeLines="60" w:afterLines="60"/>
              <w:ind w:left="360"/>
              <w:rPr>
                <w:rFonts w:ascii="Verdana" w:hAnsi="Verdana"/>
                <w:sz w:val="20"/>
                <w:szCs w:val="20"/>
              </w:rPr>
            </w:pPr>
            <w:r w:rsidRPr="00861959">
              <w:rPr>
                <w:rFonts w:ascii="Verdana" w:hAnsi="Verdana"/>
                <w:sz w:val="20"/>
                <w:szCs w:val="20"/>
              </w:rPr>
              <w:t xml:space="preserve">This program </w:t>
            </w:r>
            <w:r w:rsidR="00D2689A">
              <w:rPr>
                <w:rFonts w:ascii="Verdana" w:hAnsi="Verdana"/>
                <w:sz w:val="20"/>
                <w:szCs w:val="20"/>
              </w:rPr>
              <w:t xml:space="preserve">recently </w:t>
            </w:r>
            <w:r w:rsidRPr="00861959">
              <w:rPr>
                <w:rFonts w:ascii="Verdana" w:hAnsi="Verdana"/>
                <w:sz w:val="20"/>
                <w:szCs w:val="20"/>
              </w:rPr>
              <w:t>restructur</w:t>
            </w:r>
            <w:r w:rsidR="00D2689A">
              <w:rPr>
                <w:rFonts w:ascii="Verdana" w:hAnsi="Verdana"/>
                <w:sz w:val="20"/>
                <w:szCs w:val="20"/>
              </w:rPr>
              <w:t>ed</w:t>
            </w:r>
            <w:r w:rsidRPr="00861959">
              <w:rPr>
                <w:rFonts w:ascii="Verdana" w:hAnsi="Verdana"/>
                <w:sz w:val="20"/>
                <w:szCs w:val="20"/>
              </w:rPr>
              <w:t xml:space="preserve"> </w:t>
            </w:r>
            <w:r w:rsidR="00D2689A">
              <w:rPr>
                <w:rFonts w:ascii="Verdana" w:hAnsi="Verdana"/>
                <w:sz w:val="20"/>
                <w:szCs w:val="20"/>
              </w:rPr>
              <w:t>to</w:t>
            </w:r>
            <w:r w:rsidRPr="00861959">
              <w:rPr>
                <w:rFonts w:ascii="Verdana" w:hAnsi="Verdana"/>
                <w:sz w:val="20"/>
                <w:szCs w:val="20"/>
              </w:rPr>
              <w:t xml:space="preserve"> transition the current appropriation categories for cultural grants into five (5) Special Categories of appropriations as follows:</w:t>
            </w:r>
            <w:r>
              <w:rPr>
                <w:rFonts w:ascii="Verdana" w:hAnsi="Verdana"/>
                <w:sz w:val="20"/>
                <w:szCs w:val="20"/>
              </w:rPr>
              <w:t xml:space="preserve"> </w:t>
            </w:r>
            <w:r w:rsidRPr="00861959">
              <w:rPr>
                <w:rFonts w:ascii="Verdana" w:hAnsi="Verdana"/>
                <w:sz w:val="20"/>
                <w:szCs w:val="20"/>
              </w:rPr>
              <w:t>Cultural and Museum Grants (general program support)</w:t>
            </w:r>
            <w:r>
              <w:rPr>
                <w:rFonts w:ascii="Verdana" w:hAnsi="Verdana"/>
                <w:sz w:val="20"/>
                <w:szCs w:val="20"/>
              </w:rPr>
              <w:t xml:space="preserve">; </w:t>
            </w:r>
            <w:r w:rsidRPr="00861959">
              <w:rPr>
                <w:rFonts w:ascii="Verdana" w:hAnsi="Verdana"/>
                <w:sz w:val="20"/>
                <w:szCs w:val="20"/>
              </w:rPr>
              <w:t>Culture Builds Florida (specific projects)</w:t>
            </w:r>
            <w:r>
              <w:rPr>
                <w:rFonts w:ascii="Verdana" w:hAnsi="Verdana"/>
                <w:sz w:val="20"/>
                <w:szCs w:val="20"/>
              </w:rPr>
              <w:t xml:space="preserve">; </w:t>
            </w:r>
            <w:r w:rsidRPr="00861959">
              <w:rPr>
                <w:rFonts w:ascii="Verdana" w:hAnsi="Verdana"/>
                <w:sz w:val="20"/>
                <w:szCs w:val="20"/>
              </w:rPr>
              <w:t>Cultural Endowment</w:t>
            </w:r>
            <w:r>
              <w:rPr>
                <w:rFonts w:ascii="Verdana" w:hAnsi="Verdana"/>
                <w:sz w:val="20"/>
                <w:szCs w:val="20"/>
              </w:rPr>
              <w:t xml:space="preserve">; </w:t>
            </w:r>
            <w:r w:rsidRPr="00861959">
              <w:rPr>
                <w:rFonts w:ascii="Verdana" w:hAnsi="Verdana"/>
                <w:sz w:val="20"/>
                <w:szCs w:val="20"/>
              </w:rPr>
              <w:t>State Touring and Individual Fellowships (combined into one category)</w:t>
            </w:r>
            <w:r>
              <w:rPr>
                <w:rFonts w:ascii="Verdana" w:hAnsi="Verdana"/>
                <w:sz w:val="20"/>
                <w:szCs w:val="20"/>
              </w:rPr>
              <w:t xml:space="preserve"> and</w:t>
            </w:r>
            <w:r w:rsidRPr="00861959">
              <w:rPr>
                <w:rFonts w:ascii="Verdana" w:hAnsi="Verdana"/>
                <w:sz w:val="20"/>
                <w:szCs w:val="20"/>
              </w:rPr>
              <w:t xml:space="preserve"> Cultural Facilities.</w:t>
            </w:r>
          </w:p>
        </w:tc>
      </w:tr>
      <w:tr w:rsidR="005564D4" w:rsidRPr="009A10F2" w:rsidTr="004B13C5">
        <w:trPr>
          <w:cantSplit/>
          <w:trHeight w:val="470"/>
        </w:trPr>
        <w:tc>
          <w:tcPr>
            <w:tcW w:w="314" w:type="pct"/>
          </w:tcPr>
          <w:p w:rsidR="005564D4" w:rsidRPr="009A10F2" w:rsidRDefault="005564D4" w:rsidP="00381AAC">
            <w:pPr>
              <w:spacing w:beforeLines="60" w:afterLines="60"/>
              <w:rPr>
                <w:rFonts w:ascii="Verdana" w:hAnsi="Verdana" w:cs="Arial"/>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5564D4">
        <w:trPr>
          <w:cantSplit/>
          <w:trHeight w:val="404"/>
        </w:trPr>
        <w:tc>
          <w:tcPr>
            <w:tcW w:w="314" w:type="pct"/>
          </w:tcPr>
          <w:p w:rsidR="005564D4" w:rsidRPr="009A10F2" w:rsidRDefault="005564D4" w:rsidP="00381AAC">
            <w:pPr>
              <w:spacing w:beforeLines="60" w:afterLines="60"/>
              <w:rPr>
                <w:rFonts w:ascii="Verdana" w:hAnsi="Verdana" w:cs="Arial"/>
                <w:i/>
                <w:sz w:val="16"/>
                <w:szCs w:val="16"/>
              </w:rPr>
            </w:pPr>
          </w:p>
        </w:tc>
        <w:tc>
          <w:tcPr>
            <w:tcW w:w="380" w:type="pct"/>
          </w:tcPr>
          <w:p w:rsidR="005564D4" w:rsidRPr="009A10F2" w:rsidRDefault="005564D4"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5564D4" w:rsidRPr="009A10F2" w:rsidTr="00D2689A">
        <w:trPr>
          <w:cantSplit/>
          <w:trHeight w:val="575"/>
        </w:trPr>
        <w:tc>
          <w:tcPr>
            <w:tcW w:w="694" w:type="pct"/>
            <w:gridSpan w:val="2"/>
          </w:tcPr>
          <w:p w:rsidR="005564D4" w:rsidRPr="009A10F2" w:rsidRDefault="005564D4" w:rsidP="00381AAC">
            <w:pPr>
              <w:spacing w:beforeLines="60" w:afterLines="60"/>
              <w:rPr>
                <w:rFonts w:ascii="Verdana" w:hAnsi="Verdana" w:cs="Arial"/>
                <w:i/>
                <w:sz w:val="16"/>
                <w:szCs w:val="16"/>
              </w:rPr>
            </w:pPr>
          </w:p>
        </w:tc>
        <w:tc>
          <w:tcPr>
            <w:tcW w:w="4306" w:type="pct"/>
            <w:vMerge/>
          </w:tcPr>
          <w:p w:rsidR="005564D4" w:rsidRPr="009A10F2" w:rsidRDefault="005564D4" w:rsidP="00381AAC">
            <w:pPr>
              <w:autoSpaceDE w:val="0"/>
              <w:autoSpaceDN w:val="0"/>
              <w:adjustRightInd w:val="0"/>
              <w:spacing w:beforeLines="60" w:afterLines="60"/>
              <w:rPr>
                <w:rFonts w:ascii="Verdana" w:hAnsi="Verdana" w:cs="Arial"/>
                <w:sz w:val="20"/>
                <w:szCs w:val="20"/>
              </w:rPr>
            </w:pPr>
          </w:p>
        </w:tc>
      </w:tr>
      <w:tr w:rsidR="004B13C5" w:rsidRPr="009A10F2" w:rsidTr="004B13C5">
        <w:trPr>
          <w:cantSplit/>
          <w:trHeight w:val="193"/>
        </w:trPr>
        <w:tc>
          <w:tcPr>
            <w:tcW w:w="314" w:type="pct"/>
          </w:tcPr>
          <w:p w:rsidR="004B13C5" w:rsidRPr="009A10F2" w:rsidRDefault="004B13C5" w:rsidP="00381AAC">
            <w:pPr>
              <w:spacing w:beforeLines="60" w:afterLines="60"/>
              <w:jc w:val="center"/>
              <w:rPr>
                <w:rFonts w:ascii="Verdana" w:hAnsi="Verdana" w:cs="Arial"/>
                <w:i/>
                <w:sz w:val="16"/>
                <w:szCs w:val="16"/>
              </w:rPr>
            </w:pPr>
          </w:p>
        </w:tc>
        <w:tc>
          <w:tcPr>
            <w:tcW w:w="380" w:type="pct"/>
          </w:tcPr>
          <w:p w:rsidR="004B13C5" w:rsidRPr="009A10F2" w:rsidRDefault="004B13C5" w:rsidP="00381AAC">
            <w:pPr>
              <w:spacing w:beforeLines="60" w:afterLines="60"/>
              <w:rPr>
                <w:rFonts w:ascii="Verdana" w:hAnsi="Verdana" w:cs="Arial"/>
                <w:i/>
                <w:sz w:val="16"/>
                <w:szCs w:val="16"/>
              </w:rPr>
            </w:pPr>
            <w:r>
              <w:rPr>
                <w:rFonts w:ascii="Verdana" w:hAnsi="Verdana" w:cs="Arial"/>
                <w:i/>
                <w:sz w:val="16"/>
                <w:szCs w:val="16"/>
              </w:rPr>
              <w:t>Continue</w:t>
            </w:r>
          </w:p>
        </w:tc>
        <w:tc>
          <w:tcPr>
            <w:tcW w:w="4306" w:type="pct"/>
            <w:vMerge w:val="restart"/>
          </w:tcPr>
          <w:p w:rsidR="004B13C5" w:rsidRPr="009A10F2" w:rsidRDefault="0013670A" w:rsidP="00381AAC">
            <w:pPr>
              <w:autoSpaceDE w:val="0"/>
              <w:autoSpaceDN w:val="0"/>
              <w:adjustRightInd w:val="0"/>
              <w:spacing w:beforeLines="60" w:afterLines="60"/>
              <w:ind w:left="360"/>
              <w:rPr>
                <w:rFonts w:ascii="Verdana" w:hAnsi="Verdana" w:cs="Arial"/>
                <w:sz w:val="20"/>
                <w:szCs w:val="20"/>
              </w:rPr>
            </w:pPr>
            <w:r w:rsidRPr="0013670A">
              <w:rPr>
                <w:rFonts w:ascii="Verdana" w:hAnsi="Verdana" w:cs="Arial"/>
                <w:b/>
                <w:sz w:val="20"/>
                <w:szCs w:val="20"/>
              </w:rPr>
              <w:t>Directors Office</w:t>
            </w:r>
            <w:r w:rsidRPr="0013670A">
              <w:rPr>
                <w:rFonts w:ascii="Verdana" w:hAnsi="Verdana" w:cs="Arial"/>
                <w:sz w:val="20"/>
                <w:szCs w:val="20"/>
              </w:rPr>
              <w:t xml:space="preserve"> Administers exhibition and recognition programs for the state including: Capitol Complex Exhibit; Art in State Buildings; Florida Artists Hall of Fame; Florida Arts Recognition Program; Department of State Art Collection.</w:t>
            </w:r>
          </w:p>
        </w:tc>
      </w:tr>
      <w:tr w:rsidR="004B13C5" w:rsidRPr="009A10F2" w:rsidTr="004B13C5">
        <w:trPr>
          <w:cantSplit/>
          <w:trHeight w:val="193"/>
        </w:trPr>
        <w:tc>
          <w:tcPr>
            <w:tcW w:w="314" w:type="pct"/>
          </w:tcPr>
          <w:p w:rsidR="004B13C5" w:rsidRPr="009A10F2" w:rsidRDefault="004B13C5" w:rsidP="00381AAC">
            <w:pPr>
              <w:spacing w:beforeLines="60" w:afterLines="60"/>
              <w:rPr>
                <w:rFonts w:ascii="Verdana" w:hAnsi="Verdana" w:cs="Arial"/>
                <w:i/>
                <w:sz w:val="16"/>
                <w:szCs w:val="16"/>
              </w:rPr>
            </w:pPr>
          </w:p>
        </w:tc>
        <w:tc>
          <w:tcPr>
            <w:tcW w:w="380" w:type="pct"/>
          </w:tcPr>
          <w:p w:rsidR="004B13C5" w:rsidRPr="009A10F2" w:rsidRDefault="004B13C5" w:rsidP="00381AAC">
            <w:pPr>
              <w:spacing w:beforeLines="60" w:afterLines="60"/>
              <w:rPr>
                <w:rFonts w:ascii="Verdana" w:hAnsi="Verdana" w:cs="Arial"/>
                <w:i/>
                <w:sz w:val="16"/>
                <w:szCs w:val="16"/>
              </w:rPr>
            </w:pPr>
            <w:r>
              <w:rPr>
                <w:rFonts w:ascii="Verdana" w:hAnsi="Verdana" w:cs="Arial"/>
                <w:i/>
                <w:sz w:val="16"/>
                <w:szCs w:val="16"/>
              </w:rPr>
              <w:t>Modify</w:t>
            </w:r>
          </w:p>
        </w:tc>
        <w:tc>
          <w:tcPr>
            <w:tcW w:w="4306" w:type="pct"/>
            <w:vMerge/>
          </w:tcPr>
          <w:p w:rsidR="004B13C5" w:rsidRPr="009A10F2" w:rsidRDefault="004B13C5" w:rsidP="00381AAC">
            <w:pPr>
              <w:autoSpaceDE w:val="0"/>
              <w:autoSpaceDN w:val="0"/>
              <w:adjustRightInd w:val="0"/>
              <w:spacing w:beforeLines="60" w:afterLines="60"/>
              <w:rPr>
                <w:rFonts w:ascii="Verdana" w:hAnsi="Verdana" w:cs="Arial"/>
                <w:sz w:val="20"/>
                <w:szCs w:val="20"/>
              </w:rPr>
            </w:pPr>
          </w:p>
        </w:tc>
      </w:tr>
      <w:tr w:rsidR="004B13C5" w:rsidRPr="009A10F2" w:rsidTr="008D789B">
        <w:trPr>
          <w:cantSplit/>
          <w:trHeight w:val="80"/>
        </w:trPr>
        <w:tc>
          <w:tcPr>
            <w:tcW w:w="314" w:type="pct"/>
          </w:tcPr>
          <w:p w:rsidR="004B13C5" w:rsidRPr="009A10F2" w:rsidRDefault="004B13C5" w:rsidP="00381AAC">
            <w:pPr>
              <w:spacing w:beforeLines="60" w:afterLines="60"/>
              <w:rPr>
                <w:rFonts w:ascii="Verdana" w:hAnsi="Verdana" w:cs="Arial"/>
                <w:i/>
                <w:sz w:val="16"/>
                <w:szCs w:val="16"/>
              </w:rPr>
            </w:pPr>
          </w:p>
        </w:tc>
        <w:tc>
          <w:tcPr>
            <w:tcW w:w="380" w:type="pct"/>
          </w:tcPr>
          <w:p w:rsidR="004B13C5" w:rsidRPr="009A10F2" w:rsidRDefault="004B13C5" w:rsidP="00381AAC">
            <w:pPr>
              <w:spacing w:beforeLines="60" w:afterLines="60"/>
              <w:rPr>
                <w:rFonts w:ascii="Verdana" w:hAnsi="Verdana" w:cs="Arial"/>
                <w:i/>
                <w:sz w:val="16"/>
                <w:szCs w:val="16"/>
              </w:rPr>
            </w:pPr>
            <w:r>
              <w:rPr>
                <w:rFonts w:ascii="Verdana" w:hAnsi="Verdana" w:cs="Arial"/>
                <w:i/>
                <w:sz w:val="16"/>
                <w:szCs w:val="16"/>
              </w:rPr>
              <w:t>Abolish</w:t>
            </w:r>
          </w:p>
        </w:tc>
        <w:tc>
          <w:tcPr>
            <w:tcW w:w="4306" w:type="pct"/>
            <w:vMerge/>
          </w:tcPr>
          <w:p w:rsidR="004B13C5" w:rsidRPr="009A10F2" w:rsidRDefault="004B13C5" w:rsidP="00381AAC">
            <w:pPr>
              <w:autoSpaceDE w:val="0"/>
              <w:autoSpaceDN w:val="0"/>
              <w:adjustRightInd w:val="0"/>
              <w:spacing w:beforeLines="60" w:afterLines="60"/>
              <w:rPr>
                <w:rFonts w:ascii="Verdana" w:hAnsi="Verdana" w:cs="Arial"/>
                <w:sz w:val="20"/>
                <w:szCs w:val="20"/>
              </w:rPr>
            </w:pPr>
          </w:p>
        </w:tc>
      </w:tr>
    </w:tbl>
    <w:p w:rsidR="00F612AA" w:rsidRDefault="00F612A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96734F" w:rsidRPr="009A10F2" w:rsidTr="004B13C5">
        <w:trPr>
          <w:cantSplit/>
          <w:trHeight w:val="385"/>
        </w:trPr>
        <w:tc>
          <w:tcPr>
            <w:tcW w:w="314" w:type="pct"/>
          </w:tcPr>
          <w:p w:rsidR="0096734F" w:rsidRPr="009A10F2" w:rsidRDefault="0096734F" w:rsidP="00381AAC">
            <w:pPr>
              <w:spacing w:beforeLines="60" w:afterLines="60"/>
              <w:jc w:val="center"/>
              <w:rPr>
                <w:rFonts w:ascii="Verdana" w:hAnsi="Verdana" w:cs="Arial"/>
                <w:sz w:val="16"/>
                <w:szCs w:val="16"/>
              </w:rPr>
            </w:pPr>
          </w:p>
        </w:tc>
        <w:tc>
          <w:tcPr>
            <w:tcW w:w="380" w:type="pct"/>
          </w:tcPr>
          <w:p w:rsidR="0096734F" w:rsidRPr="009A10F2" w:rsidRDefault="0096734F"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BA38D1" w:rsidRPr="009A10F2" w:rsidRDefault="0013670A" w:rsidP="00381AAC">
            <w:pPr>
              <w:autoSpaceDE w:val="0"/>
              <w:autoSpaceDN w:val="0"/>
              <w:adjustRightInd w:val="0"/>
              <w:spacing w:beforeLines="60" w:afterLines="60"/>
              <w:ind w:left="401"/>
              <w:rPr>
                <w:rFonts w:ascii="Verdana" w:hAnsi="Verdana" w:cs="Arial"/>
                <w:sz w:val="20"/>
                <w:szCs w:val="20"/>
              </w:rPr>
            </w:pPr>
            <w:r w:rsidRPr="0013670A">
              <w:rPr>
                <w:rFonts w:ascii="Verdana" w:hAnsi="Verdana" w:cs="Arial"/>
                <w:b/>
                <w:sz w:val="20"/>
                <w:szCs w:val="20"/>
              </w:rPr>
              <w:t>Museum of Florida History</w:t>
            </w:r>
            <w:r w:rsidRPr="0013670A">
              <w:rPr>
                <w:rFonts w:ascii="Verdana" w:hAnsi="Verdana" w:cs="Arial"/>
                <w:sz w:val="20"/>
                <w:szCs w:val="20"/>
              </w:rPr>
              <w:t xml:space="preserve"> Collects, preserves, exhibits and interprets evidence of past and present cultures in Florida Included are 4 main programs: Exhibits related to Florida’s history (museum located in Tallahassee) and statewide Traveling Exhibits program; Public education programs for all ages; Historical collections preservation and management; Statewide History Fair and teacher training workshops. The Museum also manages the Knott House historic site.</w:t>
            </w:r>
          </w:p>
        </w:tc>
      </w:tr>
      <w:tr w:rsidR="0096734F" w:rsidRPr="009A10F2" w:rsidTr="004B13C5">
        <w:trPr>
          <w:cantSplit/>
          <w:trHeight w:val="385"/>
        </w:trPr>
        <w:tc>
          <w:tcPr>
            <w:tcW w:w="314" w:type="pct"/>
          </w:tcPr>
          <w:p w:rsidR="0096734F" w:rsidRPr="009A10F2" w:rsidRDefault="0096734F" w:rsidP="00381AAC">
            <w:pPr>
              <w:spacing w:beforeLines="60" w:afterLines="60"/>
              <w:jc w:val="center"/>
              <w:rPr>
                <w:rFonts w:ascii="Verdana" w:hAnsi="Verdana" w:cs="Arial"/>
                <w:sz w:val="16"/>
                <w:szCs w:val="16"/>
              </w:rPr>
            </w:pPr>
          </w:p>
        </w:tc>
        <w:tc>
          <w:tcPr>
            <w:tcW w:w="380" w:type="pct"/>
          </w:tcPr>
          <w:p w:rsidR="0096734F" w:rsidRPr="009A10F2" w:rsidRDefault="0096734F"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96734F" w:rsidRPr="009A10F2" w:rsidRDefault="0096734F" w:rsidP="00381AAC">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385"/>
        </w:trPr>
        <w:tc>
          <w:tcPr>
            <w:tcW w:w="314" w:type="pct"/>
          </w:tcPr>
          <w:p w:rsidR="0096734F" w:rsidRPr="009A10F2" w:rsidRDefault="0096734F" w:rsidP="00381AAC">
            <w:pPr>
              <w:spacing w:beforeLines="60" w:afterLines="60"/>
              <w:rPr>
                <w:rFonts w:ascii="Verdana" w:hAnsi="Verdana" w:cs="Arial"/>
                <w:sz w:val="16"/>
                <w:szCs w:val="16"/>
              </w:rPr>
            </w:pPr>
          </w:p>
        </w:tc>
        <w:tc>
          <w:tcPr>
            <w:tcW w:w="380" w:type="pct"/>
          </w:tcPr>
          <w:p w:rsidR="0096734F" w:rsidRPr="009A10F2" w:rsidRDefault="0096734F"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96734F" w:rsidRPr="009A10F2" w:rsidRDefault="0096734F" w:rsidP="00381AAC">
            <w:pPr>
              <w:autoSpaceDE w:val="0"/>
              <w:autoSpaceDN w:val="0"/>
              <w:adjustRightInd w:val="0"/>
              <w:spacing w:beforeLines="60" w:afterLines="60"/>
              <w:rPr>
                <w:rFonts w:ascii="Verdana" w:hAnsi="Verdana" w:cs="Arial"/>
                <w:sz w:val="20"/>
                <w:szCs w:val="20"/>
              </w:rPr>
            </w:pPr>
          </w:p>
        </w:tc>
      </w:tr>
      <w:tr w:rsidR="003E4710" w:rsidRPr="009A10F2" w:rsidTr="009A10F2">
        <w:trPr>
          <w:cantSplit/>
        </w:trPr>
        <w:tc>
          <w:tcPr>
            <w:tcW w:w="5000" w:type="pct"/>
            <w:gridSpan w:val="3"/>
            <w:shd w:val="clear" w:color="auto" w:fill="CCCCCC"/>
          </w:tcPr>
          <w:p w:rsidR="003E4710" w:rsidRPr="00ED60B5" w:rsidRDefault="0013670A" w:rsidP="00381AAC">
            <w:pPr>
              <w:keepNext/>
              <w:keepLines/>
              <w:autoSpaceDE w:val="0"/>
              <w:autoSpaceDN w:val="0"/>
              <w:adjustRightInd w:val="0"/>
              <w:spacing w:beforeLines="60" w:afterLines="60"/>
              <w:ind w:left="810"/>
              <w:rPr>
                <w:rFonts w:ascii="Verdana" w:hAnsi="Verdana" w:cs="Arial"/>
                <w:sz w:val="20"/>
                <w:szCs w:val="20"/>
              </w:rPr>
            </w:pPr>
            <w:r w:rsidRPr="00ED60B5">
              <w:rPr>
                <w:rFonts w:ascii="Verdana" w:hAnsi="Verdana"/>
                <w:b/>
                <w:sz w:val="20"/>
                <w:szCs w:val="20"/>
              </w:rPr>
              <w:t>Division of Historical Resources</w:t>
            </w:r>
            <w:r w:rsidR="002110B1">
              <w:rPr>
                <w:rFonts w:ascii="Verdana" w:hAnsi="Verdana"/>
                <w:b/>
                <w:sz w:val="20"/>
                <w:szCs w:val="20"/>
              </w:rPr>
              <w:t>:     $</w:t>
            </w:r>
            <w:r w:rsidRPr="00ED60B5">
              <w:rPr>
                <w:rFonts w:ascii="Verdana" w:hAnsi="Verdana"/>
                <w:b/>
                <w:sz w:val="20"/>
                <w:szCs w:val="20"/>
              </w:rPr>
              <w:t>7.05 million</w:t>
            </w:r>
            <w:r w:rsidR="002110B1">
              <w:rPr>
                <w:rFonts w:ascii="Verdana" w:hAnsi="Verdana"/>
                <w:b/>
                <w:sz w:val="20"/>
                <w:szCs w:val="20"/>
              </w:rPr>
              <w:t xml:space="preserve">    </w:t>
            </w:r>
            <w:r w:rsidRPr="00ED60B5">
              <w:rPr>
                <w:rFonts w:ascii="Verdana" w:hAnsi="Verdana"/>
                <w:b/>
                <w:sz w:val="20"/>
                <w:szCs w:val="20"/>
              </w:rPr>
              <w:t xml:space="preserve"> 50 FTE</w:t>
            </w:r>
            <w:r w:rsidR="002110B1">
              <w:rPr>
                <w:rFonts w:ascii="Verdana" w:hAnsi="Verdana"/>
                <w:b/>
                <w:sz w:val="20"/>
                <w:szCs w:val="20"/>
              </w:rPr>
              <w:t xml:space="preserve">     </w:t>
            </w:r>
            <w:r w:rsidRPr="00ED60B5">
              <w:rPr>
                <w:rFonts w:ascii="Verdana" w:hAnsi="Verdana"/>
                <w:b/>
                <w:sz w:val="20"/>
                <w:szCs w:val="20"/>
              </w:rPr>
              <w:t xml:space="preserve"> 53 OPS</w:t>
            </w:r>
          </w:p>
        </w:tc>
      </w:tr>
      <w:tr w:rsidR="005564D4" w:rsidRPr="009A10F2" w:rsidTr="00A603A9">
        <w:trPr>
          <w:cantSplit/>
          <w:trHeight w:val="470"/>
        </w:trPr>
        <w:tc>
          <w:tcPr>
            <w:tcW w:w="314" w:type="pct"/>
          </w:tcPr>
          <w:p w:rsidR="005564D4" w:rsidRPr="009A10F2" w:rsidRDefault="005564D4" w:rsidP="00381AAC">
            <w:pPr>
              <w:keepNext/>
              <w:keepLines/>
              <w:spacing w:beforeLines="60" w:afterLines="60"/>
              <w:jc w:val="center"/>
              <w:rPr>
                <w:rFonts w:ascii="Verdana" w:hAnsi="Verdana" w:cs="Arial"/>
                <w:sz w:val="16"/>
                <w:szCs w:val="16"/>
              </w:rPr>
            </w:pPr>
          </w:p>
        </w:tc>
        <w:tc>
          <w:tcPr>
            <w:tcW w:w="380" w:type="pct"/>
          </w:tcPr>
          <w:p w:rsidR="005564D4" w:rsidRPr="009A10F2" w:rsidRDefault="005564D4" w:rsidP="00381AAC">
            <w:pPr>
              <w:keepNext/>
              <w:keepLines/>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FFFFFF" w:themeFill="background1"/>
          </w:tcPr>
          <w:p w:rsidR="002C596B" w:rsidRDefault="005564D4" w:rsidP="00381AAC">
            <w:pPr>
              <w:keepNext/>
              <w:keepLines/>
              <w:autoSpaceDE w:val="0"/>
              <w:autoSpaceDN w:val="0"/>
              <w:adjustRightInd w:val="0"/>
              <w:spacing w:beforeLines="60" w:afterLines="60"/>
              <w:ind w:left="401"/>
              <w:rPr>
                <w:rFonts w:ascii="Verdana" w:hAnsi="Verdana" w:cs="Arial"/>
                <w:sz w:val="20"/>
                <w:szCs w:val="20"/>
              </w:rPr>
            </w:pPr>
            <w:r w:rsidRPr="0013670A">
              <w:rPr>
                <w:rFonts w:ascii="Verdana" w:hAnsi="Verdana" w:cs="Arial"/>
                <w:b/>
                <w:sz w:val="20"/>
                <w:szCs w:val="20"/>
              </w:rPr>
              <w:t>Bureau of Historic Preservation</w:t>
            </w:r>
            <w:r w:rsidRPr="0013670A">
              <w:rPr>
                <w:rFonts w:ascii="Verdana" w:hAnsi="Verdana" w:cs="Arial"/>
                <w:sz w:val="20"/>
                <w:szCs w:val="20"/>
              </w:rPr>
              <w:t xml:space="preserve"> Conducts historic preservation and folklife programs aimed at identifying, evaluating, preserving and interpreting the historic and folklife resources of the state.</w:t>
            </w:r>
            <w:r w:rsidR="00D2689A">
              <w:rPr>
                <w:rFonts w:ascii="Verdana" w:hAnsi="Verdana" w:cs="Arial"/>
                <w:sz w:val="20"/>
                <w:szCs w:val="20"/>
              </w:rPr>
              <w:t xml:space="preserve"> The</w:t>
            </w:r>
            <w:r w:rsidR="002110B1">
              <w:rPr>
                <w:rFonts w:ascii="Verdana" w:hAnsi="Verdana" w:cs="Arial"/>
                <w:sz w:val="20"/>
                <w:szCs w:val="20"/>
              </w:rPr>
              <w:t xml:space="preserve"> main programs of the </w:t>
            </w:r>
            <w:r w:rsidR="00D2689A">
              <w:rPr>
                <w:rFonts w:ascii="Verdana" w:hAnsi="Verdana" w:cs="Arial"/>
                <w:sz w:val="20"/>
                <w:szCs w:val="20"/>
              </w:rPr>
              <w:t xml:space="preserve"> Bureau</w:t>
            </w:r>
            <w:r w:rsidR="002110B1">
              <w:rPr>
                <w:rFonts w:ascii="Verdana" w:hAnsi="Verdana" w:cs="Arial"/>
                <w:sz w:val="20"/>
                <w:szCs w:val="20"/>
              </w:rPr>
              <w:t xml:space="preserve"> are</w:t>
            </w:r>
            <w:r w:rsidR="00D2689A">
              <w:rPr>
                <w:rFonts w:ascii="Verdana" w:hAnsi="Verdana" w:cs="Arial"/>
                <w:sz w:val="20"/>
                <w:szCs w:val="20"/>
              </w:rPr>
              <w:t>:</w:t>
            </w:r>
          </w:p>
          <w:p w:rsidR="005564D4" w:rsidRDefault="00D2689A" w:rsidP="00381AAC">
            <w:pPr>
              <w:keepNext/>
              <w:keepLines/>
              <w:autoSpaceDE w:val="0"/>
              <w:autoSpaceDN w:val="0"/>
              <w:adjustRightInd w:val="0"/>
              <w:spacing w:beforeLines="60" w:afterLines="60"/>
              <w:ind w:left="401"/>
              <w:rPr>
                <w:rFonts w:ascii="Verdana" w:hAnsi="Verdana" w:cs="Arial"/>
                <w:sz w:val="20"/>
                <w:szCs w:val="20"/>
              </w:rPr>
            </w:pPr>
            <w:r w:rsidRPr="002C596B">
              <w:rPr>
                <w:rFonts w:ascii="Verdana" w:hAnsi="Verdana" w:cs="Arial"/>
                <w:i/>
                <w:sz w:val="20"/>
                <w:szCs w:val="20"/>
              </w:rPr>
              <w:t xml:space="preserve">Florida </w:t>
            </w:r>
            <w:proofErr w:type="spellStart"/>
            <w:r w:rsidRPr="002C596B">
              <w:rPr>
                <w:rFonts w:ascii="Verdana" w:hAnsi="Verdana" w:cs="Arial"/>
                <w:i/>
                <w:sz w:val="20"/>
                <w:szCs w:val="20"/>
              </w:rPr>
              <w:t>Folklife</w:t>
            </w:r>
            <w:proofErr w:type="spellEnd"/>
            <w:r w:rsidRPr="002C596B">
              <w:rPr>
                <w:rFonts w:ascii="Verdana" w:hAnsi="Verdana" w:cs="Arial"/>
                <w:i/>
                <w:sz w:val="20"/>
                <w:szCs w:val="20"/>
              </w:rPr>
              <w:t xml:space="preserve"> Progra</w:t>
            </w:r>
            <w:r w:rsidR="002C596B" w:rsidRPr="002C596B">
              <w:rPr>
                <w:rFonts w:ascii="Verdana" w:hAnsi="Verdana" w:cs="Arial"/>
                <w:i/>
                <w:sz w:val="20"/>
                <w:szCs w:val="20"/>
              </w:rPr>
              <w:t>m</w:t>
            </w:r>
            <w:r w:rsidR="002C596B">
              <w:rPr>
                <w:rFonts w:ascii="Verdana" w:hAnsi="Verdana" w:cs="Arial"/>
                <w:sz w:val="20"/>
                <w:szCs w:val="20"/>
              </w:rPr>
              <w:t xml:space="preserve">: Documents and presents the diversity of cultural traditions in </w:t>
            </w:r>
            <w:proofErr w:type="spellStart"/>
            <w:r w:rsidR="002C596B">
              <w:rPr>
                <w:rFonts w:ascii="Verdana" w:hAnsi="Verdana" w:cs="Arial"/>
                <w:sz w:val="20"/>
                <w:szCs w:val="20"/>
              </w:rPr>
              <w:t>folklife</w:t>
            </w:r>
            <w:proofErr w:type="spellEnd"/>
            <w:r w:rsidR="002C596B">
              <w:rPr>
                <w:rFonts w:ascii="Verdana" w:hAnsi="Verdana" w:cs="Arial"/>
                <w:sz w:val="20"/>
                <w:szCs w:val="20"/>
              </w:rPr>
              <w:t>, folklore, and folk arts of the state.</w:t>
            </w:r>
          </w:p>
          <w:p w:rsidR="002C596B" w:rsidRDefault="002C596B" w:rsidP="00381AAC">
            <w:pPr>
              <w:keepNext/>
              <w:keepLines/>
              <w:autoSpaceDE w:val="0"/>
              <w:autoSpaceDN w:val="0"/>
              <w:adjustRightInd w:val="0"/>
              <w:spacing w:beforeLines="60" w:afterLines="60"/>
              <w:ind w:left="401"/>
              <w:rPr>
                <w:rFonts w:ascii="Verdana" w:hAnsi="Verdana" w:cs="Arial"/>
                <w:sz w:val="20"/>
                <w:szCs w:val="20"/>
              </w:rPr>
            </w:pPr>
            <w:r w:rsidRPr="002C596B">
              <w:rPr>
                <w:rFonts w:ascii="Verdana" w:hAnsi="Verdana" w:cs="Arial"/>
                <w:i/>
                <w:sz w:val="20"/>
                <w:szCs w:val="20"/>
              </w:rPr>
              <w:t>Florida Master Site File</w:t>
            </w:r>
            <w:r>
              <w:rPr>
                <w:rFonts w:ascii="Verdana" w:hAnsi="Verdana" w:cs="Arial"/>
                <w:sz w:val="20"/>
                <w:szCs w:val="20"/>
              </w:rPr>
              <w:t>: An inventory of over 180,000 sites representing the known physical remains of Florida prehistoric and historic cultural heritage.</w:t>
            </w:r>
          </w:p>
          <w:p w:rsidR="002C596B" w:rsidRDefault="002C596B" w:rsidP="00381AAC">
            <w:pPr>
              <w:keepNext/>
              <w:keepLines/>
              <w:autoSpaceDE w:val="0"/>
              <w:autoSpaceDN w:val="0"/>
              <w:adjustRightInd w:val="0"/>
              <w:spacing w:beforeLines="60" w:afterLines="60"/>
              <w:ind w:left="401"/>
              <w:rPr>
                <w:rFonts w:ascii="Verdana" w:hAnsi="Verdana" w:cs="Arial"/>
                <w:sz w:val="20"/>
                <w:szCs w:val="20"/>
              </w:rPr>
            </w:pPr>
            <w:r w:rsidRPr="002C596B">
              <w:rPr>
                <w:rFonts w:ascii="Verdana" w:hAnsi="Verdana" w:cs="Arial"/>
                <w:i/>
                <w:sz w:val="20"/>
                <w:szCs w:val="20"/>
              </w:rPr>
              <w:t>Florida Main Street</w:t>
            </w:r>
            <w:r>
              <w:rPr>
                <w:rFonts w:ascii="Verdana" w:hAnsi="Verdana" w:cs="Arial"/>
                <w:sz w:val="20"/>
                <w:szCs w:val="20"/>
              </w:rPr>
              <w:t>: has revitalized and preserved traditional historic retail corridors in over 90 communities.</w:t>
            </w:r>
          </w:p>
          <w:p w:rsidR="005564D4" w:rsidRPr="00C86D77" w:rsidRDefault="002C596B" w:rsidP="00381AAC">
            <w:pPr>
              <w:keepNext/>
              <w:keepLines/>
              <w:autoSpaceDE w:val="0"/>
              <w:autoSpaceDN w:val="0"/>
              <w:adjustRightInd w:val="0"/>
              <w:spacing w:beforeLines="60" w:afterLines="60"/>
              <w:ind w:left="401"/>
              <w:rPr>
                <w:rFonts w:ascii="Verdana" w:hAnsi="Verdana" w:cs="Arial"/>
                <w:sz w:val="20"/>
                <w:szCs w:val="20"/>
              </w:rPr>
            </w:pPr>
            <w:r w:rsidRPr="002C596B">
              <w:rPr>
                <w:rFonts w:ascii="Verdana" w:hAnsi="Verdana" w:cs="Arial"/>
                <w:i/>
                <w:sz w:val="20"/>
                <w:szCs w:val="20"/>
              </w:rPr>
              <w:t>State Historical Markers</w:t>
            </w:r>
            <w:r>
              <w:rPr>
                <w:rFonts w:ascii="Verdana" w:hAnsi="Verdana" w:cs="Arial"/>
                <w:sz w:val="20"/>
                <w:szCs w:val="20"/>
              </w:rPr>
              <w:t>: recognizes significant historic resources, persons and events at sites of historical and visual interest to visitors.</w:t>
            </w:r>
          </w:p>
        </w:tc>
      </w:tr>
      <w:tr w:rsidR="005564D4" w:rsidRPr="009A10F2" w:rsidTr="00A603A9">
        <w:trPr>
          <w:cantSplit/>
          <w:trHeight w:val="470"/>
        </w:trPr>
        <w:tc>
          <w:tcPr>
            <w:tcW w:w="314" w:type="pct"/>
          </w:tcPr>
          <w:p w:rsidR="005564D4" w:rsidRPr="009A10F2" w:rsidRDefault="005564D4" w:rsidP="00381AAC">
            <w:pPr>
              <w:keepNext/>
              <w:keepLines/>
              <w:spacing w:beforeLines="60" w:afterLines="60"/>
              <w:jc w:val="center"/>
              <w:rPr>
                <w:rFonts w:ascii="Verdana" w:hAnsi="Verdana" w:cs="Arial"/>
                <w:sz w:val="16"/>
                <w:szCs w:val="16"/>
              </w:rPr>
            </w:pPr>
          </w:p>
        </w:tc>
        <w:tc>
          <w:tcPr>
            <w:tcW w:w="380" w:type="pct"/>
          </w:tcPr>
          <w:p w:rsidR="005564D4" w:rsidRPr="009A10F2" w:rsidRDefault="005564D4" w:rsidP="00381AAC">
            <w:pPr>
              <w:keepNext/>
              <w:keepLines/>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FFFFFF" w:themeFill="background1"/>
          </w:tcPr>
          <w:p w:rsidR="005564D4" w:rsidRPr="009A10F2" w:rsidRDefault="005564D4" w:rsidP="00381AAC">
            <w:pPr>
              <w:keepNext/>
              <w:keepLines/>
              <w:spacing w:beforeLines="60" w:afterLines="60"/>
              <w:rPr>
                <w:rFonts w:ascii="Verdana" w:hAnsi="Verdana" w:cs="Arial"/>
                <w:sz w:val="20"/>
                <w:szCs w:val="20"/>
              </w:rPr>
            </w:pPr>
          </w:p>
        </w:tc>
      </w:tr>
      <w:tr w:rsidR="005564D4" w:rsidRPr="009A10F2" w:rsidTr="005564D4">
        <w:trPr>
          <w:cantSplit/>
          <w:trHeight w:val="553"/>
        </w:trPr>
        <w:tc>
          <w:tcPr>
            <w:tcW w:w="314" w:type="pct"/>
          </w:tcPr>
          <w:p w:rsidR="005564D4" w:rsidRPr="009A10F2" w:rsidRDefault="005564D4" w:rsidP="00381AAC">
            <w:pPr>
              <w:keepNext/>
              <w:keepLines/>
              <w:spacing w:beforeLines="60" w:afterLines="60"/>
              <w:rPr>
                <w:rFonts w:ascii="Verdana" w:hAnsi="Verdana" w:cs="Arial"/>
                <w:i/>
                <w:sz w:val="16"/>
                <w:szCs w:val="16"/>
              </w:rPr>
            </w:pPr>
          </w:p>
        </w:tc>
        <w:tc>
          <w:tcPr>
            <w:tcW w:w="380" w:type="pct"/>
          </w:tcPr>
          <w:p w:rsidR="005564D4" w:rsidRPr="009A10F2" w:rsidRDefault="005564D4" w:rsidP="00381AAC">
            <w:pPr>
              <w:keepNext/>
              <w:keepLines/>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FFFFFF" w:themeFill="background1"/>
          </w:tcPr>
          <w:p w:rsidR="005564D4" w:rsidRPr="009A10F2" w:rsidRDefault="005564D4" w:rsidP="00381AAC">
            <w:pPr>
              <w:keepNext/>
              <w:keepLines/>
              <w:spacing w:beforeLines="60" w:afterLines="60"/>
              <w:rPr>
                <w:rFonts w:ascii="Verdana" w:hAnsi="Verdana" w:cs="Arial"/>
                <w:sz w:val="20"/>
                <w:szCs w:val="20"/>
              </w:rPr>
            </w:pPr>
          </w:p>
        </w:tc>
      </w:tr>
      <w:tr w:rsidR="005564D4" w:rsidRPr="009A10F2" w:rsidTr="008D789B">
        <w:trPr>
          <w:cantSplit/>
          <w:trHeight w:val="1736"/>
        </w:trPr>
        <w:tc>
          <w:tcPr>
            <w:tcW w:w="694" w:type="pct"/>
            <w:gridSpan w:val="2"/>
          </w:tcPr>
          <w:p w:rsidR="005564D4" w:rsidRPr="009A10F2" w:rsidRDefault="005564D4" w:rsidP="00381AAC">
            <w:pPr>
              <w:keepNext/>
              <w:keepLines/>
              <w:spacing w:beforeLines="60" w:afterLines="60"/>
              <w:rPr>
                <w:rFonts w:ascii="Verdana" w:hAnsi="Verdana" w:cs="Arial"/>
                <w:i/>
                <w:sz w:val="16"/>
                <w:szCs w:val="16"/>
              </w:rPr>
            </w:pPr>
          </w:p>
        </w:tc>
        <w:tc>
          <w:tcPr>
            <w:tcW w:w="4306" w:type="pct"/>
            <w:vMerge/>
            <w:shd w:val="clear" w:color="auto" w:fill="FFFFFF" w:themeFill="background1"/>
          </w:tcPr>
          <w:p w:rsidR="005564D4" w:rsidRPr="009A10F2" w:rsidRDefault="005564D4" w:rsidP="00381AAC">
            <w:pPr>
              <w:keepNext/>
              <w:keepLines/>
              <w:spacing w:beforeLines="60" w:afterLines="60"/>
              <w:rPr>
                <w:rFonts w:ascii="Verdana" w:hAnsi="Verdana" w:cs="Arial"/>
                <w:sz w:val="20"/>
                <w:szCs w:val="20"/>
              </w:rPr>
            </w:pPr>
          </w:p>
        </w:tc>
      </w:tr>
      <w:tr w:rsidR="00684463" w:rsidRPr="009A10F2" w:rsidTr="004B13C5">
        <w:trPr>
          <w:cantSplit/>
          <w:trHeight w:val="420"/>
        </w:trPr>
        <w:tc>
          <w:tcPr>
            <w:tcW w:w="314" w:type="pct"/>
          </w:tcPr>
          <w:p w:rsidR="00684463" w:rsidRPr="009A10F2" w:rsidRDefault="00684463" w:rsidP="00381AAC">
            <w:pPr>
              <w:spacing w:beforeLines="60" w:afterLines="60"/>
              <w:jc w:val="center"/>
              <w:rPr>
                <w:rFonts w:ascii="Verdana" w:hAnsi="Verdana" w:cs="Arial"/>
                <w:sz w:val="16"/>
                <w:szCs w:val="16"/>
              </w:rPr>
            </w:pPr>
          </w:p>
        </w:tc>
        <w:tc>
          <w:tcPr>
            <w:tcW w:w="380" w:type="pct"/>
          </w:tcPr>
          <w:p w:rsidR="00684463" w:rsidRPr="009A10F2" w:rsidRDefault="00573F75"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684463" w:rsidRPr="009A10F2" w:rsidRDefault="0013670A" w:rsidP="00381AAC">
            <w:pPr>
              <w:autoSpaceDE w:val="0"/>
              <w:autoSpaceDN w:val="0"/>
              <w:adjustRightInd w:val="0"/>
              <w:spacing w:beforeLines="60" w:afterLines="60"/>
              <w:ind w:left="360"/>
              <w:rPr>
                <w:rFonts w:ascii="Verdana" w:hAnsi="Verdana" w:cs="Arial"/>
                <w:sz w:val="20"/>
                <w:szCs w:val="20"/>
              </w:rPr>
            </w:pPr>
            <w:r w:rsidRPr="0013670A">
              <w:rPr>
                <w:rFonts w:ascii="Verdana" w:hAnsi="Verdana" w:cs="Arial"/>
                <w:b/>
                <w:sz w:val="20"/>
                <w:szCs w:val="20"/>
              </w:rPr>
              <w:t>Bureau of Archeological Research</w:t>
            </w:r>
            <w:r w:rsidRPr="0013670A">
              <w:rPr>
                <w:rFonts w:ascii="Verdana" w:hAnsi="Verdana" w:cs="Arial"/>
                <w:sz w:val="20"/>
                <w:szCs w:val="20"/>
              </w:rPr>
              <w:t xml:space="preserve"> Carry out archeological surveys and excavations throughout the state, mostly on state-owned lands. They maintain records on historical resources that have been recorded, and assist consultants and planners in protecting sites. BAR also issues permits for investigating sites on state lands, underwater included.</w:t>
            </w:r>
            <w:r w:rsidR="008D789B">
              <w:rPr>
                <w:rFonts w:ascii="Verdana" w:hAnsi="Verdana" w:cs="Arial"/>
                <w:sz w:val="20"/>
                <w:szCs w:val="20"/>
              </w:rPr>
              <w:t xml:space="preserve"> Manages the 60+ acre living history park, Mission San Luis. The site interprets and reenacts life on the seventeenth century Spanish mission through archaeology, period building reconstruction and costumed interpreters.</w:t>
            </w:r>
          </w:p>
        </w:tc>
      </w:tr>
      <w:tr w:rsidR="00684463" w:rsidRPr="009A10F2" w:rsidTr="004B13C5">
        <w:trPr>
          <w:cantSplit/>
          <w:trHeight w:val="420"/>
        </w:trPr>
        <w:tc>
          <w:tcPr>
            <w:tcW w:w="314" w:type="pct"/>
          </w:tcPr>
          <w:p w:rsidR="00684463" w:rsidRPr="009A10F2" w:rsidRDefault="00684463" w:rsidP="00381AAC">
            <w:pPr>
              <w:spacing w:beforeLines="60" w:afterLines="60"/>
              <w:rPr>
                <w:rFonts w:ascii="Verdana" w:hAnsi="Verdana" w:cs="Arial"/>
                <w:sz w:val="16"/>
                <w:szCs w:val="16"/>
              </w:rPr>
            </w:pPr>
          </w:p>
        </w:tc>
        <w:tc>
          <w:tcPr>
            <w:tcW w:w="380" w:type="pct"/>
          </w:tcPr>
          <w:p w:rsidR="00684463" w:rsidRPr="009A10F2" w:rsidRDefault="00573F75"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684463" w:rsidRPr="009A10F2" w:rsidRDefault="00684463" w:rsidP="00381AAC">
            <w:pPr>
              <w:autoSpaceDE w:val="0"/>
              <w:autoSpaceDN w:val="0"/>
              <w:adjustRightInd w:val="0"/>
              <w:spacing w:beforeLines="60" w:afterLines="60"/>
              <w:rPr>
                <w:rFonts w:ascii="Verdana" w:hAnsi="Verdana" w:cs="Arial"/>
                <w:sz w:val="20"/>
                <w:szCs w:val="20"/>
              </w:rPr>
            </w:pPr>
          </w:p>
        </w:tc>
      </w:tr>
      <w:tr w:rsidR="00684463" w:rsidRPr="009A10F2" w:rsidTr="00A603A9">
        <w:trPr>
          <w:cantSplit/>
          <w:trHeight w:val="420"/>
        </w:trPr>
        <w:tc>
          <w:tcPr>
            <w:tcW w:w="314" w:type="pct"/>
            <w:tcBorders>
              <w:bottom w:val="single" w:sz="4" w:space="0" w:color="auto"/>
            </w:tcBorders>
          </w:tcPr>
          <w:p w:rsidR="00684463" w:rsidRPr="009A10F2" w:rsidRDefault="00684463" w:rsidP="00381AAC">
            <w:pPr>
              <w:spacing w:beforeLines="60" w:afterLines="60"/>
              <w:rPr>
                <w:rFonts w:ascii="Verdana" w:hAnsi="Verdana" w:cs="Arial"/>
                <w:sz w:val="16"/>
                <w:szCs w:val="16"/>
              </w:rPr>
            </w:pPr>
          </w:p>
        </w:tc>
        <w:tc>
          <w:tcPr>
            <w:tcW w:w="380" w:type="pct"/>
            <w:tcBorders>
              <w:bottom w:val="single" w:sz="4" w:space="0" w:color="auto"/>
            </w:tcBorders>
          </w:tcPr>
          <w:p w:rsidR="00684463" w:rsidRPr="009A10F2" w:rsidRDefault="00573F75"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Borders>
              <w:bottom w:val="single" w:sz="4" w:space="0" w:color="auto"/>
            </w:tcBorders>
          </w:tcPr>
          <w:p w:rsidR="00684463" w:rsidRPr="009A10F2" w:rsidRDefault="00684463" w:rsidP="00381AAC">
            <w:pPr>
              <w:autoSpaceDE w:val="0"/>
              <w:autoSpaceDN w:val="0"/>
              <w:adjustRightInd w:val="0"/>
              <w:spacing w:beforeLines="60" w:afterLines="60"/>
              <w:rPr>
                <w:rFonts w:ascii="Verdana" w:hAnsi="Verdana" w:cs="Arial"/>
                <w:sz w:val="20"/>
                <w:szCs w:val="20"/>
              </w:rPr>
            </w:pPr>
          </w:p>
        </w:tc>
      </w:tr>
      <w:tr w:rsidR="0013670A" w:rsidRPr="009A10F2" w:rsidTr="00A603A9">
        <w:trPr>
          <w:cantSplit/>
          <w:trHeight w:val="385"/>
        </w:trPr>
        <w:tc>
          <w:tcPr>
            <w:tcW w:w="5000" w:type="pct"/>
            <w:gridSpan w:val="3"/>
            <w:shd w:val="clear" w:color="auto" w:fill="BFBFBF" w:themeFill="background1" w:themeFillShade="BF"/>
          </w:tcPr>
          <w:p w:rsidR="0013670A" w:rsidRPr="00ED60B5" w:rsidRDefault="0013670A" w:rsidP="00381AAC">
            <w:pPr>
              <w:keepNext/>
              <w:keepLines/>
              <w:autoSpaceDE w:val="0"/>
              <w:autoSpaceDN w:val="0"/>
              <w:adjustRightInd w:val="0"/>
              <w:spacing w:beforeLines="60" w:afterLines="60"/>
              <w:ind w:left="810"/>
              <w:rPr>
                <w:rFonts w:ascii="Verdana" w:hAnsi="Verdana" w:cs="Arial"/>
                <w:sz w:val="20"/>
                <w:szCs w:val="20"/>
              </w:rPr>
            </w:pPr>
            <w:r w:rsidRPr="00ED60B5">
              <w:rPr>
                <w:rFonts w:ascii="Verdana" w:hAnsi="Verdana"/>
                <w:b/>
                <w:sz w:val="20"/>
                <w:szCs w:val="20"/>
              </w:rPr>
              <w:t>Library and Information Services</w:t>
            </w:r>
            <w:r w:rsidR="002110B1">
              <w:rPr>
                <w:rFonts w:ascii="Verdana" w:hAnsi="Verdana"/>
                <w:b/>
                <w:sz w:val="20"/>
                <w:szCs w:val="20"/>
              </w:rPr>
              <w:t xml:space="preserve">:     </w:t>
            </w:r>
            <w:r w:rsidRPr="00ED60B5">
              <w:rPr>
                <w:rFonts w:ascii="Verdana" w:hAnsi="Verdana"/>
                <w:b/>
                <w:sz w:val="20"/>
                <w:szCs w:val="20"/>
              </w:rPr>
              <w:t>$38.4 million</w:t>
            </w:r>
            <w:r w:rsidR="002110B1">
              <w:rPr>
                <w:rFonts w:ascii="Verdana" w:hAnsi="Verdana"/>
                <w:b/>
                <w:sz w:val="20"/>
                <w:szCs w:val="20"/>
              </w:rPr>
              <w:t xml:space="preserve">     </w:t>
            </w:r>
            <w:r w:rsidRPr="00ED60B5">
              <w:rPr>
                <w:rFonts w:ascii="Verdana" w:hAnsi="Verdana"/>
                <w:b/>
                <w:sz w:val="20"/>
                <w:szCs w:val="20"/>
              </w:rPr>
              <w:t>93 FTE</w:t>
            </w:r>
            <w:r w:rsidR="002110B1">
              <w:rPr>
                <w:rFonts w:ascii="Verdana" w:hAnsi="Verdana"/>
                <w:b/>
                <w:sz w:val="20"/>
                <w:szCs w:val="20"/>
              </w:rPr>
              <w:t xml:space="preserve">     1</w:t>
            </w:r>
            <w:r w:rsidRPr="00ED60B5">
              <w:rPr>
                <w:rFonts w:ascii="Verdana" w:hAnsi="Verdana"/>
                <w:b/>
                <w:sz w:val="20"/>
                <w:szCs w:val="20"/>
              </w:rPr>
              <w:t>8 OPS</w:t>
            </w:r>
          </w:p>
        </w:tc>
      </w:tr>
      <w:tr w:rsidR="00684463" w:rsidRPr="009A10F2" w:rsidTr="00A603A9">
        <w:trPr>
          <w:cantSplit/>
          <w:trHeight w:val="385"/>
        </w:trPr>
        <w:tc>
          <w:tcPr>
            <w:tcW w:w="314" w:type="pct"/>
          </w:tcPr>
          <w:p w:rsidR="00684463" w:rsidRPr="009A10F2" w:rsidRDefault="00684463" w:rsidP="00381AAC">
            <w:pPr>
              <w:keepNext/>
              <w:keepLines/>
              <w:spacing w:beforeLines="60" w:afterLines="60"/>
              <w:jc w:val="center"/>
              <w:rPr>
                <w:rFonts w:ascii="Verdana" w:hAnsi="Verdana" w:cs="Arial"/>
                <w:sz w:val="16"/>
                <w:szCs w:val="16"/>
              </w:rPr>
            </w:pPr>
          </w:p>
        </w:tc>
        <w:tc>
          <w:tcPr>
            <w:tcW w:w="380" w:type="pct"/>
          </w:tcPr>
          <w:p w:rsidR="00684463" w:rsidRPr="009A10F2" w:rsidRDefault="00684463" w:rsidP="00381AAC">
            <w:pPr>
              <w:keepNext/>
              <w:keepLines/>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FFFFFF" w:themeFill="background1"/>
          </w:tcPr>
          <w:p w:rsidR="00684463" w:rsidRPr="009A10F2" w:rsidRDefault="0013670A" w:rsidP="00381AAC">
            <w:pPr>
              <w:keepNext/>
              <w:keepLines/>
              <w:autoSpaceDE w:val="0"/>
              <w:autoSpaceDN w:val="0"/>
              <w:adjustRightInd w:val="0"/>
              <w:spacing w:beforeLines="60" w:afterLines="60"/>
              <w:ind w:left="401"/>
              <w:rPr>
                <w:rFonts w:ascii="Verdana" w:hAnsi="Verdana" w:cs="Arial"/>
                <w:sz w:val="20"/>
                <w:szCs w:val="20"/>
              </w:rPr>
            </w:pPr>
            <w:r w:rsidRPr="0013670A">
              <w:rPr>
                <w:rFonts w:ascii="Verdana" w:hAnsi="Verdana" w:cs="Arial"/>
                <w:b/>
                <w:sz w:val="20"/>
                <w:szCs w:val="20"/>
              </w:rPr>
              <w:t>Office of the State Librarian</w:t>
            </w:r>
            <w:r w:rsidRPr="0013670A">
              <w:rPr>
                <w:rFonts w:ascii="Verdana" w:hAnsi="Verdana" w:cs="Arial"/>
                <w:sz w:val="20"/>
                <w:szCs w:val="20"/>
              </w:rPr>
              <w:t xml:space="preserve"> Responsible for planning, organizing, developing, directing, coordinating, and evaluating the statewide programs of state library and archives services, public library services development, Florida Laws and Code and public records management, and supports the Secretary of State's duties as custodian of the state's laws and records</w:t>
            </w:r>
            <w:r w:rsidR="002110B1">
              <w:rPr>
                <w:rFonts w:ascii="Verdana" w:hAnsi="Verdana" w:cs="Arial"/>
                <w:sz w:val="20"/>
                <w:szCs w:val="20"/>
              </w:rPr>
              <w:t>.</w:t>
            </w:r>
          </w:p>
        </w:tc>
      </w:tr>
      <w:tr w:rsidR="00684463" w:rsidRPr="009A10F2" w:rsidTr="00A603A9">
        <w:trPr>
          <w:cantSplit/>
          <w:trHeight w:val="385"/>
        </w:trPr>
        <w:tc>
          <w:tcPr>
            <w:tcW w:w="314" w:type="pct"/>
          </w:tcPr>
          <w:p w:rsidR="00684463" w:rsidRPr="009A10F2" w:rsidRDefault="00684463" w:rsidP="00381AAC">
            <w:pPr>
              <w:keepNext/>
              <w:keepLines/>
              <w:spacing w:beforeLines="60" w:afterLines="60"/>
              <w:rPr>
                <w:rFonts w:ascii="Verdana" w:hAnsi="Verdana" w:cs="Arial"/>
                <w:sz w:val="16"/>
                <w:szCs w:val="16"/>
              </w:rPr>
            </w:pPr>
          </w:p>
        </w:tc>
        <w:tc>
          <w:tcPr>
            <w:tcW w:w="380" w:type="pct"/>
          </w:tcPr>
          <w:p w:rsidR="00684463" w:rsidRPr="009A10F2" w:rsidRDefault="00684463" w:rsidP="00381AAC">
            <w:pPr>
              <w:keepNext/>
              <w:keepLines/>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FFFFFF" w:themeFill="background1"/>
          </w:tcPr>
          <w:p w:rsidR="00684463" w:rsidRPr="009A10F2" w:rsidRDefault="00684463" w:rsidP="00381AAC">
            <w:pPr>
              <w:keepNext/>
              <w:keepLines/>
              <w:spacing w:beforeLines="60" w:afterLines="60"/>
              <w:rPr>
                <w:rFonts w:ascii="Verdana" w:hAnsi="Verdana" w:cs="Arial"/>
                <w:sz w:val="20"/>
                <w:szCs w:val="20"/>
              </w:rPr>
            </w:pPr>
          </w:p>
        </w:tc>
      </w:tr>
      <w:tr w:rsidR="00684463" w:rsidRPr="009A10F2" w:rsidTr="00A603A9">
        <w:trPr>
          <w:cantSplit/>
          <w:trHeight w:val="385"/>
        </w:trPr>
        <w:tc>
          <w:tcPr>
            <w:tcW w:w="314" w:type="pct"/>
          </w:tcPr>
          <w:p w:rsidR="00684463" w:rsidRPr="009A10F2" w:rsidRDefault="00684463" w:rsidP="00381AAC">
            <w:pPr>
              <w:keepNext/>
              <w:keepLines/>
              <w:spacing w:beforeLines="60" w:afterLines="60"/>
              <w:rPr>
                <w:rFonts w:ascii="Verdana" w:hAnsi="Verdana" w:cs="Arial"/>
                <w:sz w:val="16"/>
                <w:szCs w:val="16"/>
              </w:rPr>
            </w:pPr>
          </w:p>
        </w:tc>
        <w:tc>
          <w:tcPr>
            <w:tcW w:w="380" w:type="pct"/>
          </w:tcPr>
          <w:p w:rsidR="00684463" w:rsidRPr="009A10F2" w:rsidRDefault="00684463" w:rsidP="00381AAC">
            <w:pPr>
              <w:keepNext/>
              <w:keepLines/>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FFFFFF" w:themeFill="background1"/>
          </w:tcPr>
          <w:p w:rsidR="00684463" w:rsidRPr="009A10F2" w:rsidRDefault="00684463" w:rsidP="00381AAC">
            <w:pPr>
              <w:keepNext/>
              <w:keepLines/>
              <w:spacing w:beforeLines="60" w:afterLines="60"/>
              <w:rPr>
                <w:rFonts w:ascii="Verdana" w:hAnsi="Verdana" w:cs="Arial"/>
                <w:sz w:val="20"/>
                <w:szCs w:val="20"/>
              </w:rPr>
            </w:pPr>
          </w:p>
        </w:tc>
      </w:tr>
    </w:tbl>
    <w:p w:rsidR="00F612AA" w:rsidRDefault="00F612A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123BBC" w:rsidRPr="009A10F2" w:rsidTr="004B13C5">
        <w:trPr>
          <w:cantSplit/>
          <w:trHeight w:val="340"/>
        </w:trPr>
        <w:tc>
          <w:tcPr>
            <w:tcW w:w="314" w:type="pct"/>
          </w:tcPr>
          <w:p w:rsidR="00123BBC" w:rsidRPr="009A10F2" w:rsidRDefault="00123BBC" w:rsidP="00381AAC">
            <w:pPr>
              <w:spacing w:beforeLines="60" w:afterLines="60"/>
              <w:jc w:val="center"/>
              <w:rPr>
                <w:rFonts w:ascii="Verdana" w:hAnsi="Verdana" w:cs="Arial"/>
                <w:sz w:val="16"/>
                <w:szCs w:val="16"/>
              </w:rPr>
            </w:pPr>
          </w:p>
        </w:tc>
        <w:tc>
          <w:tcPr>
            <w:tcW w:w="380" w:type="pct"/>
          </w:tcPr>
          <w:p w:rsidR="00123BBC" w:rsidRPr="009A10F2" w:rsidRDefault="00123BBC"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123BBC" w:rsidRPr="009A10F2" w:rsidRDefault="0013670A" w:rsidP="00381AAC">
            <w:pPr>
              <w:autoSpaceDE w:val="0"/>
              <w:autoSpaceDN w:val="0"/>
              <w:adjustRightInd w:val="0"/>
              <w:spacing w:beforeLines="60" w:afterLines="60"/>
              <w:ind w:left="360"/>
              <w:rPr>
                <w:rFonts w:ascii="Verdana" w:hAnsi="Verdana" w:cs="Arial"/>
                <w:sz w:val="20"/>
                <w:szCs w:val="20"/>
              </w:rPr>
            </w:pPr>
            <w:r w:rsidRPr="0013670A">
              <w:rPr>
                <w:rFonts w:ascii="Verdana" w:hAnsi="Verdana" w:cs="Arial"/>
                <w:b/>
                <w:sz w:val="20"/>
                <w:szCs w:val="20"/>
              </w:rPr>
              <w:t>Office of Information Resource Management</w:t>
            </w:r>
            <w:r w:rsidRPr="0013670A">
              <w:rPr>
                <w:rFonts w:ascii="Verdana" w:hAnsi="Verdana" w:cs="Arial"/>
                <w:sz w:val="20"/>
                <w:szCs w:val="20"/>
              </w:rPr>
              <w:t xml:space="preserve"> Plans, develops, implements, monitors, and evaluates all activities and services relating to the identification, collection, storage, preservation, cataloging, overall collections management of the published and unpublished documentary history of Florida, whether in paper, microform, electronic, or other format and all records management services.</w:t>
            </w:r>
          </w:p>
        </w:tc>
      </w:tr>
      <w:tr w:rsidR="00123BBC" w:rsidRPr="009A10F2" w:rsidTr="004B13C5">
        <w:trPr>
          <w:cantSplit/>
          <w:trHeight w:val="340"/>
        </w:trPr>
        <w:tc>
          <w:tcPr>
            <w:tcW w:w="314" w:type="pct"/>
          </w:tcPr>
          <w:p w:rsidR="00123BBC" w:rsidRPr="009A10F2" w:rsidRDefault="00123BBC" w:rsidP="00381AAC">
            <w:pPr>
              <w:spacing w:beforeLines="60" w:afterLines="60"/>
              <w:rPr>
                <w:rFonts w:ascii="Verdana" w:hAnsi="Verdana" w:cs="Arial"/>
                <w:sz w:val="16"/>
                <w:szCs w:val="16"/>
              </w:rPr>
            </w:pPr>
          </w:p>
        </w:tc>
        <w:tc>
          <w:tcPr>
            <w:tcW w:w="380" w:type="pct"/>
          </w:tcPr>
          <w:p w:rsidR="00123BBC" w:rsidRPr="009A10F2" w:rsidRDefault="00123BBC"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123BBC" w:rsidRPr="009A10F2" w:rsidRDefault="00123BBC" w:rsidP="00381AAC">
            <w:pPr>
              <w:autoSpaceDE w:val="0"/>
              <w:autoSpaceDN w:val="0"/>
              <w:adjustRightInd w:val="0"/>
              <w:spacing w:beforeLines="60" w:afterLines="60"/>
              <w:rPr>
                <w:rFonts w:ascii="Verdana" w:hAnsi="Verdana" w:cs="Arial"/>
                <w:sz w:val="20"/>
                <w:szCs w:val="20"/>
              </w:rPr>
            </w:pPr>
          </w:p>
        </w:tc>
      </w:tr>
      <w:tr w:rsidR="00123BBC" w:rsidRPr="009A10F2" w:rsidTr="004B13C5">
        <w:trPr>
          <w:cantSplit/>
          <w:trHeight w:val="340"/>
        </w:trPr>
        <w:tc>
          <w:tcPr>
            <w:tcW w:w="314" w:type="pct"/>
          </w:tcPr>
          <w:p w:rsidR="00123BBC" w:rsidRPr="009A10F2" w:rsidRDefault="00123BBC" w:rsidP="00381AAC">
            <w:pPr>
              <w:spacing w:beforeLines="60" w:afterLines="60"/>
              <w:rPr>
                <w:rFonts w:ascii="Verdana" w:hAnsi="Verdana" w:cs="Arial"/>
                <w:sz w:val="16"/>
                <w:szCs w:val="16"/>
              </w:rPr>
            </w:pPr>
          </w:p>
        </w:tc>
        <w:tc>
          <w:tcPr>
            <w:tcW w:w="380" w:type="pct"/>
          </w:tcPr>
          <w:p w:rsidR="00123BBC" w:rsidRPr="009A10F2" w:rsidRDefault="00123BBC"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123BBC" w:rsidRPr="009A10F2" w:rsidRDefault="00123BBC" w:rsidP="00381AAC">
            <w:pPr>
              <w:autoSpaceDE w:val="0"/>
              <w:autoSpaceDN w:val="0"/>
              <w:adjustRightInd w:val="0"/>
              <w:spacing w:beforeLines="60" w:afterLines="60"/>
              <w:rPr>
                <w:rFonts w:ascii="Verdana" w:hAnsi="Verdana" w:cs="Arial"/>
                <w:sz w:val="20"/>
                <w:szCs w:val="20"/>
              </w:rPr>
            </w:pPr>
          </w:p>
        </w:tc>
      </w:tr>
      <w:tr w:rsidR="00123BBC" w:rsidRPr="009A10F2" w:rsidTr="004B13C5">
        <w:trPr>
          <w:cantSplit/>
          <w:trHeight w:val="260"/>
        </w:trPr>
        <w:tc>
          <w:tcPr>
            <w:tcW w:w="314" w:type="pct"/>
          </w:tcPr>
          <w:p w:rsidR="00123BBC" w:rsidRPr="009A10F2" w:rsidRDefault="00123BBC" w:rsidP="00381AAC">
            <w:pPr>
              <w:spacing w:beforeLines="60" w:afterLines="60"/>
              <w:jc w:val="center"/>
              <w:rPr>
                <w:rFonts w:ascii="Verdana" w:hAnsi="Verdana" w:cs="Arial"/>
                <w:sz w:val="16"/>
                <w:szCs w:val="16"/>
              </w:rPr>
            </w:pPr>
          </w:p>
        </w:tc>
        <w:tc>
          <w:tcPr>
            <w:tcW w:w="380" w:type="pct"/>
          </w:tcPr>
          <w:p w:rsidR="00123BBC" w:rsidRPr="009A10F2" w:rsidRDefault="00123BBC"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123BBC" w:rsidRPr="009A10F2" w:rsidRDefault="0013670A" w:rsidP="00381AAC">
            <w:pPr>
              <w:autoSpaceDE w:val="0"/>
              <w:autoSpaceDN w:val="0"/>
              <w:adjustRightInd w:val="0"/>
              <w:spacing w:beforeLines="60" w:afterLines="60"/>
              <w:ind w:left="360"/>
              <w:rPr>
                <w:rFonts w:ascii="Verdana" w:hAnsi="Verdana" w:cs="Arial"/>
                <w:sz w:val="20"/>
                <w:szCs w:val="20"/>
              </w:rPr>
            </w:pPr>
            <w:r w:rsidRPr="0013670A">
              <w:rPr>
                <w:rFonts w:ascii="Verdana" w:hAnsi="Verdana" w:cs="Arial"/>
                <w:b/>
                <w:sz w:val="20"/>
                <w:szCs w:val="20"/>
              </w:rPr>
              <w:t>Office of Information Access Services</w:t>
            </w:r>
            <w:r w:rsidRPr="0013670A">
              <w:rPr>
                <w:rFonts w:ascii="Verdana" w:hAnsi="Verdana" w:cs="Arial"/>
                <w:sz w:val="20"/>
                <w:szCs w:val="20"/>
              </w:rPr>
              <w:t xml:space="preserve"> Comprised of the State Library; Legislative Library; State Archives; and Florida Administrative Code, Weekly, and Laws, plans, develops, implements, monitors, and evaluates all services which make the physical and virtual resources of the Division available to elected officials, employees of state and local government, and the general public. It is responsible for all activities related to the direct provision of services.</w:t>
            </w:r>
          </w:p>
        </w:tc>
      </w:tr>
      <w:tr w:rsidR="00123BBC" w:rsidRPr="009A10F2" w:rsidTr="004B13C5">
        <w:trPr>
          <w:cantSplit/>
          <w:trHeight w:val="260"/>
        </w:trPr>
        <w:tc>
          <w:tcPr>
            <w:tcW w:w="314" w:type="pct"/>
          </w:tcPr>
          <w:p w:rsidR="00123BBC" w:rsidRPr="009A10F2" w:rsidRDefault="00123BBC" w:rsidP="00381AAC">
            <w:pPr>
              <w:spacing w:beforeLines="60" w:afterLines="60"/>
              <w:rPr>
                <w:rFonts w:ascii="Verdana" w:hAnsi="Verdana" w:cs="Arial"/>
                <w:sz w:val="16"/>
                <w:szCs w:val="16"/>
              </w:rPr>
            </w:pPr>
          </w:p>
        </w:tc>
        <w:tc>
          <w:tcPr>
            <w:tcW w:w="380" w:type="pct"/>
          </w:tcPr>
          <w:p w:rsidR="00123BBC" w:rsidRPr="009A10F2" w:rsidRDefault="00123BBC"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123BBC" w:rsidRPr="009A10F2" w:rsidRDefault="00123BBC" w:rsidP="00381AAC">
            <w:pPr>
              <w:autoSpaceDE w:val="0"/>
              <w:autoSpaceDN w:val="0"/>
              <w:adjustRightInd w:val="0"/>
              <w:spacing w:beforeLines="60" w:afterLines="60"/>
              <w:rPr>
                <w:rFonts w:ascii="Verdana" w:hAnsi="Verdana" w:cs="Arial"/>
                <w:sz w:val="20"/>
                <w:szCs w:val="20"/>
              </w:rPr>
            </w:pPr>
          </w:p>
        </w:tc>
      </w:tr>
      <w:tr w:rsidR="00123BBC" w:rsidRPr="009A10F2" w:rsidTr="004B13C5">
        <w:trPr>
          <w:cantSplit/>
          <w:trHeight w:val="260"/>
        </w:trPr>
        <w:tc>
          <w:tcPr>
            <w:tcW w:w="314" w:type="pct"/>
          </w:tcPr>
          <w:p w:rsidR="00123BBC" w:rsidRPr="009A10F2" w:rsidRDefault="00123BBC" w:rsidP="00381AAC">
            <w:pPr>
              <w:spacing w:beforeLines="60" w:afterLines="60"/>
              <w:rPr>
                <w:rFonts w:ascii="Verdana" w:hAnsi="Verdana" w:cs="Arial"/>
                <w:sz w:val="16"/>
                <w:szCs w:val="16"/>
              </w:rPr>
            </w:pPr>
          </w:p>
        </w:tc>
        <w:tc>
          <w:tcPr>
            <w:tcW w:w="380" w:type="pct"/>
          </w:tcPr>
          <w:p w:rsidR="00123BBC" w:rsidRPr="009A10F2" w:rsidRDefault="00123BBC"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123BBC" w:rsidRPr="009A10F2" w:rsidRDefault="00123BBC" w:rsidP="00381AAC">
            <w:pPr>
              <w:autoSpaceDE w:val="0"/>
              <w:autoSpaceDN w:val="0"/>
              <w:adjustRightInd w:val="0"/>
              <w:spacing w:beforeLines="60" w:afterLines="60"/>
              <w:rPr>
                <w:rFonts w:ascii="Verdana" w:hAnsi="Verdana" w:cs="Arial"/>
                <w:sz w:val="20"/>
                <w:szCs w:val="20"/>
              </w:rPr>
            </w:pPr>
          </w:p>
        </w:tc>
      </w:tr>
      <w:tr w:rsidR="00684463" w:rsidRPr="009A10F2" w:rsidTr="004B13C5">
        <w:trPr>
          <w:cantSplit/>
          <w:trHeight w:val="260"/>
        </w:trPr>
        <w:tc>
          <w:tcPr>
            <w:tcW w:w="314" w:type="pct"/>
          </w:tcPr>
          <w:p w:rsidR="00684463" w:rsidRPr="009A10F2" w:rsidRDefault="00684463" w:rsidP="00381AAC">
            <w:pPr>
              <w:spacing w:beforeLines="60" w:afterLines="60"/>
              <w:jc w:val="center"/>
              <w:rPr>
                <w:rFonts w:ascii="Verdana" w:hAnsi="Verdana" w:cs="Arial"/>
                <w:sz w:val="16"/>
                <w:szCs w:val="16"/>
              </w:rPr>
            </w:pPr>
          </w:p>
        </w:tc>
        <w:tc>
          <w:tcPr>
            <w:tcW w:w="380" w:type="pct"/>
          </w:tcPr>
          <w:p w:rsidR="00684463" w:rsidRPr="009A10F2" w:rsidRDefault="00123BBC" w:rsidP="00381AAC">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684463" w:rsidRPr="009A10F2" w:rsidRDefault="0013670A" w:rsidP="00381AAC">
            <w:pPr>
              <w:autoSpaceDE w:val="0"/>
              <w:autoSpaceDN w:val="0"/>
              <w:adjustRightInd w:val="0"/>
              <w:spacing w:beforeLines="60" w:afterLines="60"/>
              <w:ind w:left="360"/>
              <w:rPr>
                <w:rFonts w:ascii="Verdana" w:hAnsi="Verdana" w:cs="Arial"/>
                <w:sz w:val="20"/>
                <w:szCs w:val="20"/>
              </w:rPr>
            </w:pPr>
            <w:r w:rsidRPr="0013670A">
              <w:rPr>
                <w:rFonts w:ascii="Verdana" w:hAnsi="Verdana" w:cs="Arial"/>
                <w:b/>
                <w:sz w:val="20"/>
                <w:szCs w:val="20"/>
              </w:rPr>
              <w:t>Office of Development</w:t>
            </w:r>
            <w:r w:rsidRPr="0013670A">
              <w:rPr>
                <w:rFonts w:ascii="Verdana" w:hAnsi="Verdana" w:cs="Arial"/>
                <w:sz w:val="20"/>
                <w:szCs w:val="20"/>
              </w:rPr>
              <w:t xml:space="preserve"> Provides each of Florida’s 67 counties a professional library consultant to provide information and advice on library development issues, including administration, legal and governance issues, programs, long-range planning, resource sharing, and data gathering. Development administers state and federal grants to Florida’s libraries to support and improve their services. Development staff also provides libraries with assistance with grant application development, project design, and program implementation.</w:t>
            </w:r>
          </w:p>
        </w:tc>
      </w:tr>
      <w:tr w:rsidR="00684463" w:rsidRPr="009A10F2" w:rsidTr="004B13C5">
        <w:trPr>
          <w:cantSplit/>
          <w:trHeight w:val="260"/>
        </w:trPr>
        <w:tc>
          <w:tcPr>
            <w:tcW w:w="314" w:type="pct"/>
          </w:tcPr>
          <w:p w:rsidR="00684463" w:rsidRPr="009A10F2" w:rsidRDefault="00684463" w:rsidP="00381AAC">
            <w:pPr>
              <w:spacing w:beforeLines="60" w:afterLines="60"/>
              <w:jc w:val="center"/>
              <w:rPr>
                <w:rFonts w:ascii="Verdana" w:hAnsi="Verdana" w:cs="Arial"/>
                <w:sz w:val="16"/>
                <w:szCs w:val="16"/>
              </w:rPr>
            </w:pPr>
          </w:p>
        </w:tc>
        <w:tc>
          <w:tcPr>
            <w:tcW w:w="380" w:type="pct"/>
          </w:tcPr>
          <w:p w:rsidR="00684463" w:rsidRPr="009A10F2" w:rsidRDefault="00123BBC" w:rsidP="00381AAC">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684463" w:rsidRPr="009A10F2" w:rsidRDefault="00684463" w:rsidP="00381AAC">
            <w:pPr>
              <w:autoSpaceDE w:val="0"/>
              <w:autoSpaceDN w:val="0"/>
              <w:adjustRightInd w:val="0"/>
              <w:spacing w:beforeLines="60" w:afterLines="60"/>
              <w:rPr>
                <w:rFonts w:ascii="Verdana" w:hAnsi="Verdana" w:cs="Arial"/>
                <w:sz w:val="20"/>
                <w:szCs w:val="20"/>
              </w:rPr>
            </w:pPr>
          </w:p>
        </w:tc>
      </w:tr>
      <w:tr w:rsidR="00684463" w:rsidRPr="009A10F2" w:rsidTr="004B13C5">
        <w:trPr>
          <w:cantSplit/>
          <w:trHeight w:val="260"/>
        </w:trPr>
        <w:tc>
          <w:tcPr>
            <w:tcW w:w="314" w:type="pct"/>
          </w:tcPr>
          <w:p w:rsidR="00684463" w:rsidRPr="009A10F2" w:rsidRDefault="00684463" w:rsidP="00381AAC">
            <w:pPr>
              <w:spacing w:beforeLines="60" w:afterLines="60"/>
              <w:rPr>
                <w:rFonts w:ascii="Verdana" w:hAnsi="Verdana" w:cs="Arial"/>
                <w:sz w:val="16"/>
                <w:szCs w:val="16"/>
              </w:rPr>
            </w:pPr>
          </w:p>
        </w:tc>
        <w:tc>
          <w:tcPr>
            <w:tcW w:w="380" w:type="pct"/>
          </w:tcPr>
          <w:p w:rsidR="00684463" w:rsidRPr="009A10F2" w:rsidRDefault="00123BBC" w:rsidP="00381AAC">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684463" w:rsidRPr="009A10F2" w:rsidRDefault="00684463" w:rsidP="00381AAC">
            <w:pPr>
              <w:autoSpaceDE w:val="0"/>
              <w:autoSpaceDN w:val="0"/>
              <w:adjustRightInd w:val="0"/>
              <w:spacing w:beforeLines="60" w:afterLines="60"/>
              <w:rPr>
                <w:rFonts w:ascii="Verdana" w:hAnsi="Verdana" w:cs="Arial"/>
                <w:sz w:val="20"/>
                <w:szCs w:val="20"/>
              </w:rPr>
            </w:pPr>
          </w:p>
        </w:tc>
      </w:tr>
    </w:tbl>
    <w:p w:rsidR="00E30E0E" w:rsidRDefault="00E30E0E"/>
    <w:sectPr w:rsidR="00E30E0E" w:rsidSect="00E30E0E">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2AA" w:rsidRDefault="00F612AA" w:rsidP="00F612AA">
      <w:r>
        <w:separator/>
      </w:r>
    </w:p>
  </w:endnote>
  <w:endnote w:type="continuationSeparator" w:id="0">
    <w:p w:rsidR="00F612AA" w:rsidRDefault="00F612AA" w:rsidP="00F612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tempelGaramond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ZapfCalligr BT">
    <w:altName w:val="Palatino Linotype"/>
    <w:charset w:val="00"/>
    <w:family w:val="roman"/>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AA" w:rsidRDefault="00EA4A8B">
    <w:pPr>
      <w:pStyle w:val="Footer"/>
      <w:jc w:val="center"/>
    </w:pPr>
    <w:fldSimple w:instr=" PAGE   \* MERGEFORMAT ">
      <w:r w:rsidR="00381AAC">
        <w:rPr>
          <w:noProof/>
        </w:rPr>
        <w:t>2</w:t>
      </w:r>
    </w:fldSimple>
  </w:p>
  <w:p w:rsidR="00F612AA" w:rsidRDefault="00F612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2AA" w:rsidRDefault="00F612AA" w:rsidP="00F612AA">
      <w:r>
        <w:separator/>
      </w:r>
    </w:p>
  </w:footnote>
  <w:footnote w:type="continuationSeparator" w:id="0">
    <w:p w:rsidR="00F612AA" w:rsidRDefault="00F612AA" w:rsidP="00F61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15671E4"/>
    <w:multiLevelType w:val="hybridMultilevel"/>
    <w:tmpl w:val="05BA127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D36F86"/>
    <w:multiLevelType w:val="multilevel"/>
    <w:tmpl w:val="98AA3B8E"/>
    <w:lvl w:ilvl="0">
      <w:start w:val="1"/>
      <w:numFmt w:val="bullet"/>
      <w:lvlText w:val=""/>
      <w:lvlJc w:val="left"/>
      <w:pPr>
        <w:tabs>
          <w:tab w:val="num" w:pos="720"/>
        </w:tabs>
        <w:ind w:left="72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9F6487"/>
    <w:multiLevelType w:val="hybridMultilevel"/>
    <w:tmpl w:val="7E9A789A"/>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4C1A5B"/>
    <w:multiLevelType w:val="multilevel"/>
    <w:tmpl w:val="915CF7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51A99"/>
    <w:multiLevelType w:val="hybridMultilevel"/>
    <w:tmpl w:val="20DCD87E"/>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437BAF"/>
    <w:multiLevelType w:val="hybridMultilevel"/>
    <w:tmpl w:val="94003F36"/>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776FFE"/>
    <w:multiLevelType w:val="hybridMultilevel"/>
    <w:tmpl w:val="463E08FE"/>
    <w:lvl w:ilvl="0" w:tplc="19900BE2">
      <w:start w:val="1"/>
      <w:numFmt w:val="bullet"/>
      <w:lvlText w:val="?"/>
      <w:lvlJc w:val="left"/>
      <w:pPr>
        <w:tabs>
          <w:tab w:val="num" w:pos="720"/>
        </w:tabs>
        <w:ind w:left="720" w:hanging="720"/>
      </w:pPr>
      <w:rPr>
        <w:rFonts w:ascii="StempelGaramond Roman" w:hAnsi="StempelGaramond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8869C5"/>
    <w:multiLevelType w:val="singleLevel"/>
    <w:tmpl w:val="0538AC38"/>
    <w:lvl w:ilvl="0">
      <w:start w:val="1"/>
      <w:numFmt w:val="bullet"/>
      <w:pStyle w:val="ListBullet"/>
      <w:lvlText w:val=""/>
      <w:lvlJc w:val="left"/>
      <w:pPr>
        <w:tabs>
          <w:tab w:val="num" w:pos="360"/>
        </w:tabs>
        <w:ind w:left="360" w:hanging="360"/>
      </w:pPr>
      <w:rPr>
        <w:rFonts w:ascii="Wingdings" w:hAnsi="Wingdings" w:hint="default"/>
      </w:rPr>
    </w:lvl>
  </w:abstractNum>
  <w:abstractNum w:abstractNumId="8">
    <w:nsid w:val="2E687BA8"/>
    <w:multiLevelType w:val="multilevel"/>
    <w:tmpl w:val="64184D74"/>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76311E4"/>
    <w:multiLevelType w:val="hybridMultilevel"/>
    <w:tmpl w:val="666CB35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F875E2"/>
    <w:multiLevelType w:val="singleLevel"/>
    <w:tmpl w:val="81A63F12"/>
    <w:lvl w:ilvl="0">
      <w:start w:val="1"/>
      <w:numFmt w:val="bullet"/>
      <w:pStyle w:val="ListBulletlast"/>
      <w:lvlText w:val=""/>
      <w:lvlJc w:val="left"/>
      <w:pPr>
        <w:tabs>
          <w:tab w:val="num" w:pos="360"/>
        </w:tabs>
        <w:ind w:left="360" w:hanging="360"/>
      </w:pPr>
      <w:rPr>
        <w:rFonts w:ascii="Wingdings" w:hAnsi="Wingdings" w:hint="default"/>
      </w:rPr>
    </w:lvl>
  </w:abstractNum>
  <w:abstractNum w:abstractNumId="11">
    <w:nsid w:val="3B3E0546"/>
    <w:multiLevelType w:val="hybridMultilevel"/>
    <w:tmpl w:val="39689CE8"/>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7E70D6"/>
    <w:multiLevelType w:val="hybridMultilevel"/>
    <w:tmpl w:val="1E2AB1F8"/>
    <w:lvl w:ilvl="0" w:tplc="B44A17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865594"/>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nsid w:val="43C10319"/>
    <w:multiLevelType w:val="hybridMultilevel"/>
    <w:tmpl w:val="28E65F1A"/>
    <w:lvl w:ilvl="0" w:tplc="38323E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1E7F71"/>
    <w:multiLevelType w:val="hybridMultilevel"/>
    <w:tmpl w:val="BB426E40"/>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4A2F3A0A"/>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nsid w:val="4B52594C"/>
    <w:multiLevelType w:val="hybridMultilevel"/>
    <w:tmpl w:val="763A2EB8"/>
    <w:lvl w:ilvl="0" w:tplc="38323E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7155B3"/>
    <w:multiLevelType w:val="multilevel"/>
    <w:tmpl w:val="94003F36"/>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E6673E8"/>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nsid w:val="505F0AED"/>
    <w:multiLevelType w:val="hybridMultilevel"/>
    <w:tmpl w:val="C6649510"/>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910463"/>
    <w:multiLevelType w:val="hybridMultilevel"/>
    <w:tmpl w:val="F85EFB38"/>
    <w:lvl w:ilvl="0" w:tplc="E794CC7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C3E7C44"/>
    <w:multiLevelType w:val="multilevel"/>
    <w:tmpl w:val="2258E706"/>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605E4A33"/>
    <w:multiLevelType w:val="hybridMultilevel"/>
    <w:tmpl w:val="3D9ABA9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648349BB"/>
    <w:multiLevelType w:val="hybridMultilevel"/>
    <w:tmpl w:val="98AA3B8E"/>
    <w:lvl w:ilvl="0" w:tplc="18C0D60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76364B"/>
    <w:multiLevelType w:val="hybridMultilevel"/>
    <w:tmpl w:val="2258E706"/>
    <w:lvl w:ilvl="0" w:tplc="758ACEE6">
      <w:start w:val="1"/>
      <w:numFmt w:val="bullet"/>
      <w:lvlText w:val=""/>
      <w:lvlJc w:val="left"/>
      <w:pPr>
        <w:tabs>
          <w:tab w:val="num" w:pos="720"/>
        </w:tabs>
        <w:ind w:left="720" w:hanging="720"/>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65E55BBF"/>
    <w:multiLevelType w:val="hybridMultilevel"/>
    <w:tmpl w:val="5BCE3FEA"/>
    <w:lvl w:ilvl="0" w:tplc="38323E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60365C"/>
    <w:multiLevelType w:val="multilevel"/>
    <w:tmpl w:val="1E2AB1F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B2F2F24"/>
    <w:multiLevelType w:val="hybridMultilevel"/>
    <w:tmpl w:val="647C77F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1F3833"/>
    <w:multiLevelType w:val="hybridMultilevel"/>
    <w:tmpl w:val="64184D7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D32858"/>
    <w:multiLevelType w:val="hybridMultilevel"/>
    <w:tmpl w:val="C1264D32"/>
    <w:lvl w:ilvl="0" w:tplc="22FEF2B4">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1">
    <w:nsid w:val="73FC5042"/>
    <w:multiLevelType w:val="hybridMultilevel"/>
    <w:tmpl w:val="B8ECBB66"/>
    <w:lvl w:ilvl="0" w:tplc="EF6C8A9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D062E3"/>
    <w:multiLevelType w:val="multilevel"/>
    <w:tmpl w:val="33D4A558"/>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5"/>
  </w:num>
  <w:num w:numId="4">
    <w:abstractNumId w:val="30"/>
  </w:num>
  <w:num w:numId="5">
    <w:abstractNumId w:val="22"/>
  </w:num>
  <w:num w:numId="6">
    <w:abstractNumId w:val="0"/>
  </w:num>
  <w:num w:numId="7">
    <w:abstractNumId w:val="4"/>
  </w:num>
  <w:num w:numId="8">
    <w:abstractNumId w:val="24"/>
  </w:num>
  <w:num w:numId="9">
    <w:abstractNumId w:val="1"/>
  </w:num>
  <w:num w:numId="10">
    <w:abstractNumId w:val="12"/>
  </w:num>
  <w:num w:numId="11">
    <w:abstractNumId w:val="19"/>
  </w:num>
  <w:num w:numId="12">
    <w:abstractNumId w:val="21"/>
  </w:num>
  <w:num w:numId="13">
    <w:abstractNumId w:val="27"/>
  </w:num>
  <w:num w:numId="14">
    <w:abstractNumId w:val="9"/>
  </w:num>
  <w:num w:numId="15">
    <w:abstractNumId w:val="32"/>
  </w:num>
  <w:num w:numId="16">
    <w:abstractNumId w:val="29"/>
  </w:num>
  <w:num w:numId="17">
    <w:abstractNumId w:val="13"/>
  </w:num>
  <w:num w:numId="18">
    <w:abstractNumId w:val="23"/>
  </w:num>
  <w:num w:numId="19">
    <w:abstractNumId w:val="16"/>
  </w:num>
  <w:num w:numId="20">
    <w:abstractNumId w:val="15"/>
  </w:num>
  <w:num w:numId="21">
    <w:abstractNumId w:val="8"/>
  </w:num>
  <w:num w:numId="22">
    <w:abstractNumId w:val="5"/>
  </w:num>
  <w:num w:numId="23">
    <w:abstractNumId w:val="18"/>
  </w:num>
  <w:num w:numId="24">
    <w:abstractNumId w:val="28"/>
  </w:num>
  <w:num w:numId="25">
    <w:abstractNumId w:val="11"/>
  </w:num>
  <w:num w:numId="26">
    <w:abstractNumId w:val="2"/>
  </w:num>
  <w:num w:numId="27">
    <w:abstractNumId w:val="20"/>
  </w:num>
  <w:num w:numId="28">
    <w:abstractNumId w:val="31"/>
  </w:num>
  <w:num w:numId="29">
    <w:abstractNumId w:val="26"/>
  </w:num>
  <w:num w:numId="30">
    <w:abstractNumId w:val="14"/>
  </w:num>
  <w:num w:numId="31">
    <w:abstractNumId w:val="17"/>
  </w:num>
  <w:num w:numId="32">
    <w:abstractNumId w:val="10"/>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57B3"/>
    <w:rsid w:val="00004415"/>
    <w:rsid w:val="00015513"/>
    <w:rsid w:val="000530F9"/>
    <w:rsid w:val="00080637"/>
    <w:rsid w:val="0008472F"/>
    <w:rsid w:val="000B362F"/>
    <w:rsid w:val="000E62D1"/>
    <w:rsid w:val="000E67BF"/>
    <w:rsid w:val="001028C3"/>
    <w:rsid w:val="00123BBC"/>
    <w:rsid w:val="00124DC8"/>
    <w:rsid w:val="0013670A"/>
    <w:rsid w:val="00147497"/>
    <w:rsid w:val="00153668"/>
    <w:rsid w:val="00153D90"/>
    <w:rsid w:val="001553D9"/>
    <w:rsid w:val="00186048"/>
    <w:rsid w:val="001B1EF0"/>
    <w:rsid w:val="001C23EB"/>
    <w:rsid w:val="001E2BEA"/>
    <w:rsid w:val="001F203E"/>
    <w:rsid w:val="002110B1"/>
    <w:rsid w:val="00220CE6"/>
    <w:rsid w:val="00222BA8"/>
    <w:rsid w:val="002424C8"/>
    <w:rsid w:val="00272D1A"/>
    <w:rsid w:val="00276DFA"/>
    <w:rsid w:val="00285E04"/>
    <w:rsid w:val="002A1839"/>
    <w:rsid w:val="002A3305"/>
    <w:rsid w:val="002A52A8"/>
    <w:rsid w:val="002C1308"/>
    <w:rsid w:val="002C21B9"/>
    <w:rsid w:val="002C596B"/>
    <w:rsid w:val="002C7B30"/>
    <w:rsid w:val="002E3782"/>
    <w:rsid w:val="002E6530"/>
    <w:rsid w:val="002F5C65"/>
    <w:rsid w:val="00307368"/>
    <w:rsid w:val="00327E9B"/>
    <w:rsid w:val="00377FCA"/>
    <w:rsid w:val="00381AAC"/>
    <w:rsid w:val="00386ED9"/>
    <w:rsid w:val="00393A44"/>
    <w:rsid w:val="003A31E0"/>
    <w:rsid w:val="003E34ED"/>
    <w:rsid w:val="003E4710"/>
    <w:rsid w:val="00413ACE"/>
    <w:rsid w:val="0044361D"/>
    <w:rsid w:val="004511C4"/>
    <w:rsid w:val="00455F67"/>
    <w:rsid w:val="0046330A"/>
    <w:rsid w:val="004B13C5"/>
    <w:rsid w:val="004C23B7"/>
    <w:rsid w:val="004D2AF9"/>
    <w:rsid w:val="004D3BEB"/>
    <w:rsid w:val="004F191C"/>
    <w:rsid w:val="00522A72"/>
    <w:rsid w:val="00531540"/>
    <w:rsid w:val="00531B48"/>
    <w:rsid w:val="0055123C"/>
    <w:rsid w:val="005564D4"/>
    <w:rsid w:val="00573F75"/>
    <w:rsid w:val="005741B9"/>
    <w:rsid w:val="00575FB1"/>
    <w:rsid w:val="0059092A"/>
    <w:rsid w:val="00591E61"/>
    <w:rsid w:val="005A461A"/>
    <w:rsid w:val="005D1EEA"/>
    <w:rsid w:val="005D396B"/>
    <w:rsid w:val="005E5A2C"/>
    <w:rsid w:val="005F7722"/>
    <w:rsid w:val="006131B8"/>
    <w:rsid w:val="006179C0"/>
    <w:rsid w:val="00627095"/>
    <w:rsid w:val="0066005C"/>
    <w:rsid w:val="00660E20"/>
    <w:rsid w:val="006778F6"/>
    <w:rsid w:val="00684463"/>
    <w:rsid w:val="006911E0"/>
    <w:rsid w:val="006B1963"/>
    <w:rsid w:val="006C0BD2"/>
    <w:rsid w:val="006C60E2"/>
    <w:rsid w:val="006D1BAE"/>
    <w:rsid w:val="007248B9"/>
    <w:rsid w:val="00725C84"/>
    <w:rsid w:val="00734E49"/>
    <w:rsid w:val="007354EA"/>
    <w:rsid w:val="00736D92"/>
    <w:rsid w:val="007730CC"/>
    <w:rsid w:val="00794EFB"/>
    <w:rsid w:val="00795315"/>
    <w:rsid w:val="007A2AC7"/>
    <w:rsid w:val="007A7663"/>
    <w:rsid w:val="007B4C5C"/>
    <w:rsid w:val="007C6906"/>
    <w:rsid w:val="007D1E9B"/>
    <w:rsid w:val="007D2BC1"/>
    <w:rsid w:val="007E5B66"/>
    <w:rsid w:val="007F74DC"/>
    <w:rsid w:val="008225A3"/>
    <w:rsid w:val="0082687C"/>
    <w:rsid w:val="0083156C"/>
    <w:rsid w:val="00832880"/>
    <w:rsid w:val="00833A17"/>
    <w:rsid w:val="00845B3A"/>
    <w:rsid w:val="00861959"/>
    <w:rsid w:val="008740F5"/>
    <w:rsid w:val="00874CAE"/>
    <w:rsid w:val="00887877"/>
    <w:rsid w:val="0089275A"/>
    <w:rsid w:val="008B0ED4"/>
    <w:rsid w:val="008B320D"/>
    <w:rsid w:val="008C64FE"/>
    <w:rsid w:val="008D789B"/>
    <w:rsid w:val="008E217E"/>
    <w:rsid w:val="008F67CD"/>
    <w:rsid w:val="00902F43"/>
    <w:rsid w:val="00920D82"/>
    <w:rsid w:val="00940AE5"/>
    <w:rsid w:val="00945A56"/>
    <w:rsid w:val="00951B61"/>
    <w:rsid w:val="00965549"/>
    <w:rsid w:val="0096734F"/>
    <w:rsid w:val="009A10F2"/>
    <w:rsid w:val="009B44F2"/>
    <w:rsid w:val="009B5267"/>
    <w:rsid w:val="009C3E41"/>
    <w:rsid w:val="009E4D98"/>
    <w:rsid w:val="00A32913"/>
    <w:rsid w:val="00A54EE4"/>
    <w:rsid w:val="00A603A9"/>
    <w:rsid w:val="00A63293"/>
    <w:rsid w:val="00A64FE0"/>
    <w:rsid w:val="00A7421A"/>
    <w:rsid w:val="00A80680"/>
    <w:rsid w:val="00A9728C"/>
    <w:rsid w:val="00AC1E59"/>
    <w:rsid w:val="00B11751"/>
    <w:rsid w:val="00B136A7"/>
    <w:rsid w:val="00B17D6C"/>
    <w:rsid w:val="00B73B48"/>
    <w:rsid w:val="00B801C6"/>
    <w:rsid w:val="00B96C8F"/>
    <w:rsid w:val="00BA1BF1"/>
    <w:rsid w:val="00BA2F51"/>
    <w:rsid w:val="00BA38D1"/>
    <w:rsid w:val="00C06A20"/>
    <w:rsid w:val="00C10067"/>
    <w:rsid w:val="00C112A2"/>
    <w:rsid w:val="00C14A45"/>
    <w:rsid w:val="00C31458"/>
    <w:rsid w:val="00C33692"/>
    <w:rsid w:val="00C34C7A"/>
    <w:rsid w:val="00C53240"/>
    <w:rsid w:val="00C73F73"/>
    <w:rsid w:val="00C818F0"/>
    <w:rsid w:val="00C83B11"/>
    <w:rsid w:val="00C86D77"/>
    <w:rsid w:val="00C86EEE"/>
    <w:rsid w:val="00C93DD1"/>
    <w:rsid w:val="00C96BE8"/>
    <w:rsid w:val="00CA77EA"/>
    <w:rsid w:val="00CB01FE"/>
    <w:rsid w:val="00CB32EC"/>
    <w:rsid w:val="00CD1914"/>
    <w:rsid w:val="00CD5D2B"/>
    <w:rsid w:val="00CE0E9F"/>
    <w:rsid w:val="00CE5C26"/>
    <w:rsid w:val="00D07A88"/>
    <w:rsid w:val="00D11AB3"/>
    <w:rsid w:val="00D12FB6"/>
    <w:rsid w:val="00D135BF"/>
    <w:rsid w:val="00D16830"/>
    <w:rsid w:val="00D25954"/>
    <w:rsid w:val="00D2689A"/>
    <w:rsid w:val="00D37A6D"/>
    <w:rsid w:val="00D54298"/>
    <w:rsid w:val="00D55046"/>
    <w:rsid w:val="00D70C20"/>
    <w:rsid w:val="00D85F31"/>
    <w:rsid w:val="00D87997"/>
    <w:rsid w:val="00DC03C3"/>
    <w:rsid w:val="00DD69A2"/>
    <w:rsid w:val="00DE6789"/>
    <w:rsid w:val="00E1368F"/>
    <w:rsid w:val="00E17995"/>
    <w:rsid w:val="00E30E0E"/>
    <w:rsid w:val="00E43CED"/>
    <w:rsid w:val="00E54FF3"/>
    <w:rsid w:val="00E72064"/>
    <w:rsid w:val="00E743BE"/>
    <w:rsid w:val="00E767AE"/>
    <w:rsid w:val="00E92104"/>
    <w:rsid w:val="00EA2308"/>
    <w:rsid w:val="00EA4A8B"/>
    <w:rsid w:val="00EA500E"/>
    <w:rsid w:val="00EA7D0E"/>
    <w:rsid w:val="00ED4EF0"/>
    <w:rsid w:val="00ED60B5"/>
    <w:rsid w:val="00EF1A7C"/>
    <w:rsid w:val="00F37A2D"/>
    <w:rsid w:val="00F457B3"/>
    <w:rsid w:val="00F575B5"/>
    <w:rsid w:val="00F60D88"/>
    <w:rsid w:val="00F612AA"/>
    <w:rsid w:val="00F77BCD"/>
    <w:rsid w:val="00F93343"/>
    <w:rsid w:val="00FA7BE8"/>
    <w:rsid w:val="00FB3751"/>
    <w:rsid w:val="00FC6066"/>
    <w:rsid w:val="00FE3281"/>
    <w:rsid w:val="00FE37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E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45B3A"/>
    <w:rPr>
      <w:rFonts w:ascii="Tahoma" w:hAnsi="Tahoma" w:cs="Tahoma"/>
      <w:sz w:val="16"/>
      <w:szCs w:val="16"/>
    </w:rPr>
  </w:style>
  <w:style w:type="character" w:styleId="Hyperlink">
    <w:name w:val="Hyperlink"/>
    <w:basedOn w:val="DefaultParagraphFont"/>
    <w:rsid w:val="001C23EB"/>
    <w:rPr>
      <w:b w:val="0"/>
      <w:bCs w:val="0"/>
      <w:color w:val="000066"/>
      <w:u w:val="single"/>
    </w:rPr>
  </w:style>
  <w:style w:type="paragraph" w:styleId="NormalWeb">
    <w:name w:val="Normal (Web)"/>
    <w:basedOn w:val="Normal"/>
    <w:uiPriority w:val="99"/>
    <w:rsid w:val="001C23EB"/>
    <w:pPr>
      <w:spacing w:before="100" w:beforeAutospacing="1" w:after="100" w:afterAutospacing="1"/>
    </w:pPr>
  </w:style>
  <w:style w:type="character" w:styleId="Strong">
    <w:name w:val="Strong"/>
    <w:basedOn w:val="DefaultParagraphFont"/>
    <w:qFormat/>
    <w:rsid w:val="001C23EB"/>
    <w:rPr>
      <w:b/>
      <w:bCs/>
    </w:rPr>
  </w:style>
  <w:style w:type="paragraph" w:customStyle="1" w:styleId="bodytext">
    <w:name w:val="body text"/>
    <w:basedOn w:val="Normal"/>
    <w:link w:val="bodytextChar1"/>
    <w:rsid w:val="007248B9"/>
    <w:pPr>
      <w:tabs>
        <w:tab w:val="left" w:pos="9000"/>
      </w:tabs>
      <w:spacing w:after="120" w:line="228" w:lineRule="auto"/>
      <w:jc w:val="both"/>
    </w:pPr>
    <w:rPr>
      <w:rFonts w:ascii="ZapfCalligr BT" w:hAnsi="ZapfCalligr BT"/>
      <w:sz w:val="21"/>
      <w:szCs w:val="20"/>
    </w:rPr>
  </w:style>
  <w:style w:type="paragraph" w:styleId="ListBullet">
    <w:name w:val="List Bullet"/>
    <w:basedOn w:val="Normal"/>
    <w:link w:val="ListBulletChar"/>
    <w:rsid w:val="007248B9"/>
    <w:pPr>
      <w:numPr>
        <w:numId w:val="33"/>
      </w:numPr>
      <w:spacing w:after="60"/>
    </w:pPr>
    <w:rPr>
      <w:rFonts w:ascii="ZapfCalligr BT" w:hAnsi="ZapfCalligr BT"/>
      <w:snapToGrid w:val="0"/>
      <w:sz w:val="21"/>
      <w:szCs w:val="20"/>
    </w:rPr>
  </w:style>
  <w:style w:type="paragraph" w:customStyle="1" w:styleId="ListBulletlast">
    <w:name w:val="List Bullet last"/>
    <w:basedOn w:val="ListBullet"/>
    <w:next w:val="bodytext"/>
    <w:rsid w:val="007248B9"/>
    <w:pPr>
      <w:numPr>
        <w:numId w:val="32"/>
      </w:numPr>
      <w:tabs>
        <w:tab w:val="clear" w:pos="360"/>
        <w:tab w:val="num" w:pos="720"/>
      </w:tabs>
      <w:spacing w:after="120"/>
      <w:ind w:left="720" w:hanging="720"/>
    </w:pPr>
  </w:style>
  <w:style w:type="character" w:customStyle="1" w:styleId="bodytextChar1">
    <w:name w:val="body text Char1"/>
    <w:basedOn w:val="DefaultParagraphFont"/>
    <w:link w:val="bodytext"/>
    <w:rsid w:val="007248B9"/>
    <w:rPr>
      <w:rFonts w:ascii="ZapfCalligr BT" w:hAnsi="ZapfCalligr BT"/>
      <w:sz w:val="21"/>
    </w:rPr>
  </w:style>
  <w:style w:type="character" w:customStyle="1" w:styleId="ListBulletChar">
    <w:name w:val="List Bullet Char"/>
    <w:basedOn w:val="DefaultParagraphFont"/>
    <w:link w:val="ListBullet"/>
    <w:rsid w:val="007248B9"/>
    <w:rPr>
      <w:rFonts w:ascii="ZapfCalligr BT" w:hAnsi="ZapfCalligr BT"/>
      <w:snapToGrid w:val="0"/>
      <w:sz w:val="21"/>
    </w:rPr>
  </w:style>
  <w:style w:type="paragraph" w:styleId="Header">
    <w:name w:val="header"/>
    <w:basedOn w:val="Normal"/>
    <w:link w:val="HeaderChar"/>
    <w:rsid w:val="00F612AA"/>
    <w:pPr>
      <w:tabs>
        <w:tab w:val="center" w:pos="4680"/>
        <w:tab w:val="right" w:pos="9360"/>
      </w:tabs>
    </w:pPr>
  </w:style>
  <w:style w:type="character" w:customStyle="1" w:styleId="HeaderChar">
    <w:name w:val="Header Char"/>
    <w:basedOn w:val="DefaultParagraphFont"/>
    <w:link w:val="Header"/>
    <w:rsid w:val="00F612AA"/>
    <w:rPr>
      <w:sz w:val="24"/>
      <w:szCs w:val="24"/>
    </w:rPr>
  </w:style>
  <w:style w:type="paragraph" w:styleId="Footer">
    <w:name w:val="footer"/>
    <w:basedOn w:val="Normal"/>
    <w:link w:val="FooterChar"/>
    <w:uiPriority w:val="99"/>
    <w:rsid w:val="00F612AA"/>
    <w:pPr>
      <w:tabs>
        <w:tab w:val="center" w:pos="4680"/>
        <w:tab w:val="right" w:pos="9360"/>
      </w:tabs>
    </w:pPr>
  </w:style>
  <w:style w:type="character" w:customStyle="1" w:styleId="FooterChar">
    <w:name w:val="Footer Char"/>
    <w:basedOn w:val="DefaultParagraphFont"/>
    <w:link w:val="Footer"/>
    <w:uiPriority w:val="99"/>
    <w:rsid w:val="00F612AA"/>
    <w:rPr>
      <w:sz w:val="24"/>
      <w:szCs w:val="24"/>
    </w:rPr>
  </w:style>
</w:styles>
</file>

<file path=word/webSettings.xml><?xml version="1.0" encoding="utf-8"?>
<w:webSettings xmlns:r="http://schemas.openxmlformats.org/officeDocument/2006/relationships" xmlns:w="http://schemas.openxmlformats.org/wordprocessingml/2006/main">
  <w:divs>
    <w:div w:id="39014922">
      <w:bodyDiv w:val="1"/>
      <w:marLeft w:val="0"/>
      <w:marRight w:val="0"/>
      <w:marTop w:val="0"/>
      <w:marBottom w:val="0"/>
      <w:divBdr>
        <w:top w:val="none" w:sz="0" w:space="0" w:color="auto"/>
        <w:left w:val="none" w:sz="0" w:space="0" w:color="auto"/>
        <w:bottom w:val="none" w:sz="0" w:space="0" w:color="auto"/>
        <w:right w:val="none" w:sz="0" w:space="0" w:color="auto"/>
      </w:divBdr>
      <w:divsChild>
        <w:div w:id="1781755315">
          <w:marLeft w:val="0"/>
          <w:marRight w:val="0"/>
          <w:marTop w:val="0"/>
          <w:marBottom w:val="0"/>
          <w:divBdr>
            <w:top w:val="single" w:sz="6" w:space="1" w:color="CCCCCC"/>
            <w:left w:val="single" w:sz="6" w:space="1" w:color="CCCCCC"/>
            <w:bottom w:val="single" w:sz="6" w:space="1" w:color="CCCCCC"/>
            <w:right w:val="single" w:sz="6" w:space="1" w:color="CCCCCC"/>
          </w:divBdr>
          <w:divsChild>
            <w:div w:id="722414000">
              <w:marLeft w:val="0"/>
              <w:marRight w:val="0"/>
              <w:marTop w:val="0"/>
              <w:marBottom w:val="0"/>
              <w:divBdr>
                <w:top w:val="none" w:sz="0" w:space="0" w:color="auto"/>
                <w:left w:val="none" w:sz="0" w:space="0" w:color="auto"/>
                <w:bottom w:val="none" w:sz="0" w:space="0" w:color="auto"/>
                <w:right w:val="none" w:sz="0" w:space="0" w:color="auto"/>
              </w:divBdr>
              <w:divsChild>
                <w:div w:id="41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392">
      <w:bodyDiv w:val="1"/>
      <w:marLeft w:val="0"/>
      <w:marRight w:val="0"/>
      <w:marTop w:val="0"/>
      <w:marBottom w:val="0"/>
      <w:divBdr>
        <w:top w:val="none" w:sz="0" w:space="0" w:color="auto"/>
        <w:left w:val="none" w:sz="0" w:space="0" w:color="auto"/>
        <w:bottom w:val="none" w:sz="0" w:space="0" w:color="auto"/>
        <w:right w:val="none" w:sz="0" w:space="0" w:color="auto"/>
      </w:divBdr>
      <w:divsChild>
        <w:div w:id="119957465">
          <w:marLeft w:val="0"/>
          <w:marRight w:val="0"/>
          <w:marTop w:val="0"/>
          <w:marBottom w:val="0"/>
          <w:divBdr>
            <w:top w:val="single" w:sz="6" w:space="1" w:color="CCCCCC"/>
            <w:left w:val="single" w:sz="6" w:space="1" w:color="CCCCCC"/>
            <w:bottom w:val="single" w:sz="6" w:space="1" w:color="CCCCCC"/>
            <w:right w:val="single" w:sz="6" w:space="1" w:color="CCCCCC"/>
          </w:divBdr>
          <w:divsChild>
            <w:div w:id="1038580441">
              <w:marLeft w:val="0"/>
              <w:marRight w:val="0"/>
              <w:marTop w:val="0"/>
              <w:marBottom w:val="0"/>
              <w:divBdr>
                <w:top w:val="none" w:sz="0" w:space="0" w:color="auto"/>
                <w:left w:val="none" w:sz="0" w:space="0" w:color="auto"/>
                <w:bottom w:val="none" w:sz="0" w:space="0" w:color="auto"/>
                <w:right w:val="none" w:sz="0" w:space="0" w:color="auto"/>
              </w:divBdr>
              <w:divsChild>
                <w:div w:id="12106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8362">
      <w:bodyDiv w:val="1"/>
      <w:marLeft w:val="0"/>
      <w:marRight w:val="0"/>
      <w:marTop w:val="0"/>
      <w:marBottom w:val="0"/>
      <w:divBdr>
        <w:top w:val="none" w:sz="0" w:space="0" w:color="auto"/>
        <w:left w:val="none" w:sz="0" w:space="0" w:color="auto"/>
        <w:bottom w:val="none" w:sz="0" w:space="0" w:color="auto"/>
        <w:right w:val="none" w:sz="0" w:space="0" w:color="auto"/>
      </w:divBdr>
      <w:divsChild>
        <w:div w:id="2142964971">
          <w:marLeft w:val="0"/>
          <w:marRight w:val="0"/>
          <w:marTop w:val="0"/>
          <w:marBottom w:val="0"/>
          <w:divBdr>
            <w:top w:val="none" w:sz="0" w:space="0" w:color="auto"/>
            <w:left w:val="none" w:sz="0" w:space="0" w:color="auto"/>
            <w:bottom w:val="none" w:sz="0" w:space="0" w:color="auto"/>
            <w:right w:val="none" w:sz="0" w:space="0" w:color="auto"/>
          </w:divBdr>
          <w:divsChild>
            <w:div w:id="779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196">
      <w:bodyDiv w:val="1"/>
      <w:marLeft w:val="0"/>
      <w:marRight w:val="0"/>
      <w:marTop w:val="0"/>
      <w:marBottom w:val="0"/>
      <w:divBdr>
        <w:top w:val="none" w:sz="0" w:space="0" w:color="auto"/>
        <w:left w:val="none" w:sz="0" w:space="0" w:color="auto"/>
        <w:bottom w:val="none" w:sz="0" w:space="0" w:color="auto"/>
        <w:right w:val="none" w:sz="0" w:space="0" w:color="auto"/>
      </w:divBdr>
      <w:divsChild>
        <w:div w:id="158159943">
          <w:marLeft w:val="0"/>
          <w:marRight w:val="0"/>
          <w:marTop w:val="0"/>
          <w:marBottom w:val="0"/>
          <w:divBdr>
            <w:top w:val="single" w:sz="6" w:space="1" w:color="CCCCCC"/>
            <w:left w:val="single" w:sz="6" w:space="1" w:color="CCCCCC"/>
            <w:bottom w:val="single" w:sz="6" w:space="1" w:color="CCCCCC"/>
            <w:right w:val="single" w:sz="6" w:space="1" w:color="CCCCCC"/>
          </w:divBdr>
          <w:divsChild>
            <w:div w:id="88238564">
              <w:marLeft w:val="0"/>
              <w:marRight w:val="0"/>
              <w:marTop w:val="0"/>
              <w:marBottom w:val="0"/>
              <w:divBdr>
                <w:top w:val="none" w:sz="0" w:space="0" w:color="auto"/>
                <w:left w:val="none" w:sz="0" w:space="0" w:color="auto"/>
                <w:bottom w:val="none" w:sz="0" w:space="0" w:color="auto"/>
                <w:right w:val="none" w:sz="0" w:space="0" w:color="auto"/>
              </w:divBdr>
              <w:divsChild>
                <w:div w:id="9480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0669">
      <w:bodyDiv w:val="1"/>
      <w:marLeft w:val="0"/>
      <w:marRight w:val="0"/>
      <w:marTop w:val="0"/>
      <w:marBottom w:val="0"/>
      <w:divBdr>
        <w:top w:val="none" w:sz="0" w:space="0" w:color="auto"/>
        <w:left w:val="none" w:sz="0" w:space="0" w:color="auto"/>
        <w:bottom w:val="none" w:sz="0" w:space="0" w:color="auto"/>
        <w:right w:val="none" w:sz="0" w:space="0" w:color="auto"/>
      </w:divBdr>
      <w:divsChild>
        <w:div w:id="1345551217">
          <w:marLeft w:val="0"/>
          <w:marRight w:val="0"/>
          <w:marTop w:val="0"/>
          <w:marBottom w:val="0"/>
          <w:divBdr>
            <w:top w:val="none" w:sz="0" w:space="0" w:color="auto"/>
            <w:left w:val="none" w:sz="0" w:space="0" w:color="auto"/>
            <w:bottom w:val="none" w:sz="0" w:space="0" w:color="auto"/>
            <w:right w:val="none" w:sz="0" w:space="0" w:color="auto"/>
          </w:divBdr>
          <w:divsChild>
            <w:div w:id="14581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256">
      <w:bodyDiv w:val="1"/>
      <w:marLeft w:val="0"/>
      <w:marRight w:val="0"/>
      <w:marTop w:val="0"/>
      <w:marBottom w:val="0"/>
      <w:divBdr>
        <w:top w:val="none" w:sz="0" w:space="0" w:color="auto"/>
        <w:left w:val="none" w:sz="0" w:space="0" w:color="auto"/>
        <w:bottom w:val="none" w:sz="0" w:space="0" w:color="auto"/>
        <w:right w:val="none" w:sz="0" w:space="0" w:color="auto"/>
      </w:divBdr>
      <w:divsChild>
        <w:div w:id="2097827004">
          <w:marLeft w:val="0"/>
          <w:marRight w:val="0"/>
          <w:marTop w:val="0"/>
          <w:marBottom w:val="0"/>
          <w:divBdr>
            <w:top w:val="single" w:sz="6" w:space="1" w:color="CCCCCC"/>
            <w:left w:val="single" w:sz="6" w:space="1" w:color="CCCCCC"/>
            <w:bottom w:val="single" w:sz="6" w:space="1" w:color="CCCCCC"/>
            <w:right w:val="single" w:sz="6" w:space="1" w:color="CCCCCC"/>
          </w:divBdr>
          <w:divsChild>
            <w:div w:id="1816289213">
              <w:marLeft w:val="0"/>
              <w:marRight w:val="0"/>
              <w:marTop w:val="0"/>
              <w:marBottom w:val="0"/>
              <w:divBdr>
                <w:top w:val="none" w:sz="0" w:space="0" w:color="auto"/>
                <w:left w:val="none" w:sz="0" w:space="0" w:color="auto"/>
                <w:bottom w:val="none" w:sz="0" w:space="0" w:color="auto"/>
                <w:right w:val="none" w:sz="0" w:space="0" w:color="auto"/>
              </w:divBdr>
              <w:divsChild>
                <w:div w:id="866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0844">
      <w:bodyDiv w:val="1"/>
      <w:marLeft w:val="0"/>
      <w:marRight w:val="0"/>
      <w:marTop w:val="0"/>
      <w:marBottom w:val="0"/>
      <w:divBdr>
        <w:top w:val="none" w:sz="0" w:space="0" w:color="auto"/>
        <w:left w:val="none" w:sz="0" w:space="0" w:color="auto"/>
        <w:bottom w:val="none" w:sz="0" w:space="0" w:color="auto"/>
        <w:right w:val="none" w:sz="0" w:space="0" w:color="auto"/>
      </w:divBdr>
      <w:divsChild>
        <w:div w:id="2003774930">
          <w:marLeft w:val="0"/>
          <w:marRight w:val="0"/>
          <w:marTop w:val="0"/>
          <w:marBottom w:val="0"/>
          <w:divBdr>
            <w:top w:val="single" w:sz="6" w:space="1" w:color="CCCCCC"/>
            <w:left w:val="single" w:sz="6" w:space="1" w:color="CCCCCC"/>
            <w:bottom w:val="single" w:sz="6" w:space="1" w:color="CCCCCC"/>
            <w:right w:val="single" w:sz="6" w:space="1" w:color="CCCCCC"/>
          </w:divBdr>
          <w:divsChild>
            <w:div w:id="2142964643">
              <w:marLeft w:val="0"/>
              <w:marRight w:val="0"/>
              <w:marTop w:val="0"/>
              <w:marBottom w:val="0"/>
              <w:divBdr>
                <w:top w:val="none" w:sz="0" w:space="0" w:color="auto"/>
                <w:left w:val="none" w:sz="0" w:space="0" w:color="auto"/>
                <w:bottom w:val="none" w:sz="0" w:space="0" w:color="auto"/>
                <w:right w:val="none" w:sz="0" w:space="0" w:color="auto"/>
              </w:divBdr>
              <w:divsChild>
                <w:div w:id="17946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5144">
      <w:bodyDiv w:val="1"/>
      <w:marLeft w:val="0"/>
      <w:marRight w:val="0"/>
      <w:marTop w:val="0"/>
      <w:marBottom w:val="0"/>
      <w:divBdr>
        <w:top w:val="none" w:sz="0" w:space="0" w:color="auto"/>
        <w:left w:val="none" w:sz="0" w:space="0" w:color="auto"/>
        <w:bottom w:val="none" w:sz="0" w:space="0" w:color="auto"/>
        <w:right w:val="none" w:sz="0" w:space="0" w:color="auto"/>
      </w:divBdr>
      <w:divsChild>
        <w:div w:id="1825316142">
          <w:marLeft w:val="0"/>
          <w:marRight w:val="0"/>
          <w:marTop w:val="0"/>
          <w:marBottom w:val="0"/>
          <w:divBdr>
            <w:top w:val="single" w:sz="6" w:space="1" w:color="CCCCCC"/>
            <w:left w:val="single" w:sz="6" w:space="1" w:color="CCCCCC"/>
            <w:bottom w:val="single" w:sz="6" w:space="1" w:color="CCCCCC"/>
            <w:right w:val="single" w:sz="6" w:space="1" w:color="CCCCCC"/>
          </w:divBdr>
          <w:divsChild>
            <w:div w:id="845636871">
              <w:marLeft w:val="0"/>
              <w:marRight w:val="0"/>
              <w:marTop w:val="0"/>
              <w:marBottom w:val="0"/>
              <w:divBdr>
                <w:top w:val="none" w:sz="0" w:space="0" w:color="auto"/>
                <w:left w:val="none" w:sz="0" w:space="0" w:color="auto"/>
                <w:bottom w:val="none" w:sz="0" w:space="0" w:color="auto"/>
                <w:right w:val="none" w:sz="0" w:space="0" w:color="auto"/>
              </w:divBdr>
              <w:divsChild>
                <w:div w:id="12279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08841">
      <w:bodyDiv w:val="1"/>
      <w:marLeft w:val="0"/>
      <w:marRight w:val="0"/>
      <w:marTop w:val="0"/>
      <w:marBottom w:val="0"/>
      <w:divBdr>
        <w:top w:val="none" w:sz="0" w:space="0" w:color="auto"/>
        <w:left w:val="none" w:sz="0" w:space="0" w:color="auto"/>
        <w:bottom w:val="none" w:sz="0" w:space="0" w:color="auto"/>
        <w:right w:val="none" w:sz="0" w:space="0" w:color="auto"/>
      </w:divBdr>
      <w:divsChild>
        <w:div w:id="1646229862">
          <w:marLeft w:val="0"/>
          <w:marRight w:val="0"/>
          <w:marTop w:val="0"/>
          <w:marBottom w:val="0"/>
          <w:divBdr>
            <w:top w:val="none" w:sz="0" w:space="0" w:color="auto"/>
            <w:left w:val="none" w:sz="0" w:space="0" w:color="auto"/>
            <w:bottom w:val="none" w:sz="0" w:space="0" w:color="auto"/>
            <w:right w:val="none" w:sz="0" w:space="0" w:color="auto"/>
          </w:divBdr>
          <w:divsChild>
            <w:div w:id="1631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7601">
      <w:bodyDiv w:val="1"/>
      <w:marLeft w:val="0"/>
      <w:marRight w:val="0"/>
      <w:marTop w:val="0"/>
      <w:marBottom w:val="0"/>
      <w:divBdr>
        <w:top w:val="none" w:sz="0" w:space="0" w:color="auto"/>
        <w:left w:val="none" w:sz="0" w:space="0" w:color="auto"/>
        <w:bottom w:val="none" w:sz="0" w:space="0" w:color="auto"/>
        <w:right w:val="none" w:sz="0" w:space="0" w:color="auto"/>
      </w:divBdr>
      <w:divsChild>
        <w:div w:id="866020993">
          <w:marLeft w:val="0"/>
          <w:marRight w:val="0"/>
          <w:marTop w:val="0"/>
          <w:marBottom w:val="0"/>
          <w:divBdr>
            <w:top w:val="none" w:sz="0" w:space="0" w:color="auto"/>
            <w:left w:val="none" w:sz="0" w:space="0" w:color="auto"/>
            <w:bottom w:val="none" w:sz="0" w:space="0" w:color="auto"/>
            <w:right w:val="none" w:sz="0" w:space="0" w:color="auto"/>
          </w:divBdr>
          <w:divsChild>
            <w:div w:id="4573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786A-3E11-4A32-BCC1-A5626111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163, Part II</vt:lpstr>
    </vt:vector>
  </TitlesOfParts>
  <Company>State of Florida</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 Part II</dc:title>
  <dc:subject/>
  <dc:creator>gilreath.debbie</dc:creator>
  <cp:keywords/>
  <dc:description/>
  <cp:lastModifiedBy>FRANCIS.DAVID</cp:lastModifiedBy>
  <cp:revision>4</cp:revision>
  <cp:lastPrinted>2009-10-06T21:15:00Z</cp:lastPrinted>
  <dcterms:created xsi:type="dcterms:W3CDTF">2010-01-27T21:06:00Z</dcterms:created>
  <dcterms:modified xsi:type="dcterms:W3CDTF">2010-02-11T15:51:00Z</dcterms:modified>
</cp:coreProperties>
</file>