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276DFA" w:rsidRPr="009A10F2" w:rsidTr="00E30E0E">
        <w:trPr>
          <w:cantSplit/>
        </w:trPr>
        <w:tc>
          <w:tcPr>
            <w:tcW w:w="5000" w:type="pct"/>
            <w:gridSpan w:val="3"/>
            <w:tcBorders>
              <w:bottom w:val="single" w:sz="4" w:space="0" w:color="auto"/>
            </w:tcBorders>
            <w:shd w:val="clear" w:color="auto" w:fill="C0C0C0"/>
          </w:tcPr>
          <w:p w:rsidR="00276DFA" w:rsidRPr="009A10F2" w:rsidRDefault="006E4FAE" w:rsidP="003A7B72">
            <w:pPr>
              <w:spacing w:beforeLines="60" w:afterLines="60"/>
              <w:jc w:val="center"/>
              <w:rPr>
                <w:rFonts w:ascii="Verdana" w:hAnsi="Verdana" w:cs="Arial"/>
                <w:b/>
                <w:sz w:val="20"/>
                <w:szCs w:val="20"/>
              </w:rPr>
            </w:pPr>
            <w:r>
              <w:rPr>
                <w:rFonts w:ascii="Verdana" w:hAnsi="Verdana" w:cs="Arial"/>
                <w:b/>
                <w:sz w:val="20"/>
                <w:szCs w:val="20"/>
              </w:rPr>
              <w:t xml:space="preserve">Independent Entities in </w:t>
            </w:r>
            <w:r w:rsidR="00461C85">
              <w:rPr>
                <w:rFonts w:ascii="Verdana" w:hAnsi="Verdana" w:cs="Arial"/>
                <w:b/>
                <w:sz w:val="20"/>
                <w:szCs w:val="20"/>
              </w:rPr>
              <w:t>Department of Management Services</w:t>
            </w:r>
          </w:p>
        </w:tc>
      </w:tr>
      <w:tr w:rsidR="004D4C38" w:rsidRPr="009A10F2" w:rsidTr="00BF5DD0">
        <w:tc>
          <w:tcPr>
            <w:tcW w:w="5000" w:type="pct"/>
            <w:gridSpan w:val="3"/>
            <w:shd w:val="clear" w:color="auto" w:fill="auto"/>
          </w:tcPr>
          <w:p w:rsidR="004D4C38" w:rsidRPr="004D4C38" w:rsidRDefault="00764EE5" w:rsidP="003A7B72">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Several</w:t>
            </w:r>
            <w:r w:rsidR="006E4FAE" w:rsidRPr="006E4FAE">
              <w:rPr>
                <w:rFonts w:ascii="Verdana" w:hAnsi="Verdana" w:cs="Arial"/>
                <w:sz w:val="20"/>
                <w:szCs w:val="20"/>
              </w:rPr>
              <w:t xml:space="preserve"> independent entities are administratively housed at </w:t>
            </w:r>
            <w:r w:rsidR="006E4FAE">
              <w:rPr>
                <w:rFonts w:ascii="Verdana" w:hAnsi="Verdana" w:cs="Arial"/>
                <w:sz w:val="20"/>
                <w:szCs w:val="20"/>
              </w:rPr>
              <w:t>the Department of Management Services (</w:t>
            </w:r>
            <w:r w:rsidR="006E4FAE" w:rsidRPr="006E4FAE">
              <w:rPr>
                <w:rFonts w:ascii="Verdana" w:hAnsi="Verdana" w:cs="Arial"/>
                <w:sz w:val="20"/>
                <w:szCs w:val="20"/>
              </w:rPr>
              <w:t>DMS</w:t>
            </w:r>
            <w:r w:rsidR="006E4FAE">
              <w:rPr>
                <w:rFonts w:ascii="Verdana" w:hAnsi="Verdana" w:cs="Arial"/>
                <w:sz w:val="20"/>
                <w:szCs w:val="20"/>
              </w:rPr>
              <w:t>)</w:t>
            </w:r>
            <w:r w:rsidR="006E4FAE" w:rsidRPr="006E4FAE">
              <w:rPr>
                <w:rFonts w:ascii="Verdana" w:hAnsi="Verdana" w:cs="Arial"/>
                <w:sz w:val="20"/>
                <w:szCs w:val="20"/>
              </w:rPr>
              <w:t xml:space="preserve">.  However, the department does not exercise control, supervision, or direction over the entities’ day-to-day operations.  </w:t>
            </w:r>
          </w:p>
        </w:tc>
      </w:tr>
      <w:tr w:rsidR="003E4710" w:rsidRPr="009A10F2" w:rsidTr="00BF5DD0">
        <w:trPr>
          <w:cantSplit/>
        </w:trPr>
        <w:tc>
          <w:tcPr>
            <w:tcW w:w="5000" w:type="pct"/>
            <w:gridSpan w:val="3"/>
            <w:shd w:val="pct10" w:color="auto" w:fill="auto"/>
          </w:tcPr>
          <w:p w:rsidR="00220CE6" w:rsidRPr="00472703" w:rsidRDefault="006E4FAE" w:rsidP="003A7B72">
            <w:pPr>
              <w:autoSpaceDE w:val="0"/>
              <w:autoSpaceDN w:val="0"/>
              <w:adjustRightInd w:val="0"/>
              <w:spacing w:beforeLines="60" w:afterLines="60"/>
              <w:ind w:left="360"/>
              <w:rPr>
                <w:rFonts w:ascii="Verdana" w:hAnsi="Verdana" w:cs="Arial"/>
                <w:b/>
                <w:sz w:val="20"/>
                <w:szCs w:val="20"/>
              </w:rPr>
            </w:pPr>
            <w:r w:rsidRPr="006E4FAE">
              <w:rPr>
                <w:rFonts w:ascii="Verdana" w:hAnsi="Verdana" w:cs="Arial"/>
                <w:b/>
                <w:sz w:val="20"/>
                <w:szCs w:val="20"/>
              </w:rPr>
              <w:t>Division of Administrative Hearings</w:t>
            </w:r>
          </w:p>
        </w:tc>
      </w:tr>
      <w:tr w:rsidR="0058321D" w:rsidRPr="009A10F2" w:rsidTr="00BF5DD0">
        <w:tc>
          <w:tcPr>
            <w:tcW w:w="314" w:type="pct"/>
          </w:tcPr>
          <w:p w:rsidR="0058321D" w:rsidRPr="009A10F2" w:rsidRDefault="0058321D" w:rsidP="003A7B72">
            <w:pPr>
              <w:spacing w:beforeLines="60" w:afterLines="60"/>
              <w:jc w:val="center"/>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FFFFFF"/>
          </w:tcPr>
          <w:p w:rsidR="007A369A" w:rsidRPr="00764EE5" w:rsidRDefault="007A369A" w:rsidP="003A7B72">
            <w:pPr>
              <w:autoSpaceDE w:val="0"/>
              <w:autoSpaceDN w:val="0"/>
              <w:adjustRightInd w:val="0"/>
              <w:spacing w:beforeLines="60" w:afterLines="60"/>
              <w:ind w:left="360"/>
              <w:rPr>
                <w:rFonts w:ascii="Verdana" w:hAnsi="Verdana" w:cs="Arial"/>
                <w:sz w:val="20"/>
                <w:szCs w:val="20"/>
              </w:rPr>
            </w:pPr>
            <w:r w:rsidRPr="00764EE5">
              <w:rPr>
                <w:rFonts w:ascii="Verdana" w:hAnsi="Verdana" w:cs="Arial"/>
                <w:sz w:val="20"/>
                <w:szCs w:val="20"/>
              </w:rPr>
              <w:t xml:space="preserve">The purpose of the </w:t>
            </w:r>
            <w:hyperlink r:id="rId8" w:history="1">
              <w:r w:rsidRPr="00764EE5">
                <w:rPr>
                  <w:rFonts w:ascii="Verdana" w:hAnsi="Verdana" w:cs="Arial"/>
                  <w:sz w:val="20"/>
                  <w:szCs w:val="20"/>
                </w:rPr>
                <w:t>Division of Administrative Hearings</w:t>
              </w:r>
            </w:hyperlink>
            <w:r w:rsidRPr="00764EE5">
              <w:rPr>
                <w:rFonts w:ascii="Verdana" w:hAnsi="Verdana" w:cs="Arial"/>
                <w:sz w:val="20"/>
                <w:szCs w:val="20"/>
              </w:rPr>
              <w:t xml:space="preserve"> (DOAH) is to improve the fairness of state agency administrative proceedings by providing a uniform, impartial, efficient, accessible, and affordable forum for resolving conflicts between private citizens and state agencies and organizations; it also is charged with resolving workers’ compensation disputes.  </w:t>
            </w:r>
            <w:r w:rsidR="00042849" w:rsidRPr="00764EE5">
              <w:rPr>
                <w:rFonts w:ascii="Verdana" w:hAnsi="Verdana" w:cs="Arial"/>
                <w:sz w:val="20"/>
                <w:szCs w:val="20"/>
              </w:rPr>
              <w:t>DOAH</w:t>
            </w:r>
            <w:r w:rsidRPr="00764EE5">
              <w:rPr>
                <w:rFonts w:ascii="Verdana" w:hAnsi="Verdana" w:cs="Arial"/>
                <w:sz w:val="20"/>
                <w:szCs w:val="20"/>
              </w:rPr>
              <w:t xml:space="preserve"> conducts administrative hearings, which are similar to court proceedings, except that juries are not used.</w:t>
            </w:r>
          </w:p>
          <w:p w:rsidR="00042849" w:rsidRPr="00764EE5" w:rsidRDefault="00042849" w:rsidP="003A7B72">
            <w:pPr>
              <w:autoSpaceDE w:val="0"/>
              <w:autoSpaceDN w:val="0"/>
              <w:adjustRightInd w:val="0"/>
              <w:spacing w:beforeLines="60" w:afterLines="60"/>
              <w:ind w:left="360"/>
              <w:rPr>
                <w:rFonts w:ascii="Verdana" w:hAnsi="Verdana" w:cs="Arial"/>
                <w:sz w:val="20"/>
                <w:szCs w:val="20"/>
              </w:rPr>
            </w:pPr>
            <w:r w:rsidRPr="00764EE5">
              <w:rPr>
                <w:rFonts w:ascii="Verdana" w:hAnsi="Verdana" w:cs="Arial"/>
                <w:sz w:val="20"/>
                <w:szCs w:val="20"/>
              </w:rPr>
              <w:t xml:space="preserve">DOAH is headed by a </w:t>
            </w:r>
            <w:hyperlink r:id="rId9" w:history="1">
              <w:r w:rsidRPr="00764EE5">
                <w:rPr>
                  <w:rFonts w:ascii="Verdana" w:hAnsi="Verdana" w:cs="Arial"/>
                  <w:sz w:val="20"/>
                  <w:szCs w:val="20"/>
                </w:rPr>
                <w:t>division director</w:t>
              </w:r>
            </w:hyperlink>
            <w:r w:rsidRPr="00764EE5">
              <w:rPr>
                <w:rFonts w:ascii="Verdana" w:hAnsi="Verdana" w:cs="Arial"/>
                <w:sz w:val="20"/>
                <w:szCs w:val="20"/>
              </w:rPr>
              <w:t xml:space="preserve"> who serves as the chief administrative law judge, appointed by the </w:t>
            </w:r>
            <w:hyperlink r:id="rId10" w:history="1">
              <w:r w:rsidRPr="00764EE5">
                <w:rPr>
                  <w:rFonts w:ascii="Verdana" w:hAnsi="Verdana" w:cs="Arial"/>
                  <w:sz w:val="20"/>
                  <w:szCs w:val="20"/>
                </w:rPr>
                <w:t>Administration Commission</w:t>
              </w:r>
            </w:hyperlink>
            <w:r w:rsidRPr="00764EE5">
              <w:rPr>
                <w:rFonts w:ascii="Verdana" w:hAnsi="Verdana" w:cs="Arial"/>
                <w:sz w:val="20"/>
                <w:szCs w:val="20"/>
              </w:rPr>
              <w:t xml:space="preserve"> (Governor and Cabinet) and confirmed by the Florida Senate.  DOAH is administratively housed in the Department of Management Services, but is not subject to the control, supervision, or direction of the department.  DOAH’s headquarters are in Tallahassee. </w:t>
            </w:r>
          </w:p>
          <w:p w:rsidR="00042849" w:rsidRPr="00764EE5" w:rsidRDefault="00042849" w:rsidP="003A7B72">
            <w:pPr>
              <w:autoSpaceDE w:val="0"/>
              <w:autoSpaceDN w:val="0"/>
              <w:adjustRightInd w:val="0"/>
              <w:spacing w:beforeLines="60" w:afterLines="60"/>
              <w:ind w:left="360"/>
              <w:rPr>
                <w:rFonts w:ascii="Verdana" w:hAnsi="Verdana" w:cs="Arial"/>
                <w:sz w:val="20"/>
                <w:szCs w:val="20"/>
              </w:rPr>
            </w:pPr>
            <w:r w:rsidRPr="00764EE5">
              <w:rPr>
                <w:rFonts w:ascii="Verdana" w:hAnsi="Verdana" w:cs="Arial"/>
                <w:sz w:val="20"/>
                <w:szCs w:val="20"/>
              </w:rPr>
              <w:t>DOAH has two units, the Adjudication of Disputes Program and the Workers’ Compensation Appeals Program.</w:t>
            </w:r>
          </w:p>
          <w:p w:rsidR="00042849" w:rsidRPr="00764EE5" w:rsidRDefault="00042849"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764EE5">
              <w:rPr>
                <w:rFonts w:ascii="Verdana" w:hAnsi="Verdana" w:cs="Arial"/>
                <w:sz w:val="20"/>
                <w:szCs w:val="20"/>
              </w:rPr>
              <w:t xml:space="preserve">The </w:t>
            </w:r>
            <w:r w:rsidRPr="00764EE5">
              <w:rPr>
                <w:rFonts w:ascii="Verdana" w:hAnsi="Verdana" w:cs="Arial"/>
                <w:b/>
                <w:sz w:val="20"/>
                <w:szCs w:val="20"/>
              </w:rPr>
              <w:t>Adjudication of Disputes Program</w:t>
            </w:r>
            <w:r w:rsidRPr="00764EE5">
              <w:rPr>
                <w:rFonts w:ascii="Verdana" w:hAnsi="Verdana" w:cs="Arial"/>
                <w:sz w:val="20"/>
                <w:szCs w:val="20"/>
              </w:rPr>
              <w:t xml:space="preserve"> employs administrative law judges, including the chief judge and a deputy chief judge, who travel throughout the state conducting administrative hearings.  </w:t>
            </w:r>
            <w:r w:rsidR="00764EE5" w:rsidRPr="00764EE5">
              <w:rPr>
                <w:rFonts w:ascii="Verdana" w:hAnsi="Verdana" w:cs="Arial"/>
                <w:sz w:val="20"/>
                <w:szCs w:val="20"/>
              </w:rPr>
              <w:t>Administrative law judges conduct hearings as authorized by Ch. </w:t>
            </w:r>
            <w:hyperlink r:id="rId11" w:history="1">
              <w:r w:rsidR="00764EE5" w:rsidRPr="00764EE5">
                <w:rPr>
                  <w:rStyle w:val="Hyperlink"/>
                  <w:rFonts w:ascii="Verdana" w:hAnsi="Verdana" w:cs="Arial"/>
                  <w:sz w:val="20"/>
                  <w:szCs w:val="20"/>
                  <w:u w:val="none"/>
                </w:rPr>
                <w:t>120</w:t>
              </w:r>
            </w:hyperlink>
            <w:r w:rsidR="00764EE5" w:rsidRPr="00764EE5">
              <w:rPr>
                <w:rFonts w:ascii="Verdana" w:hAnsi="Verdana" w:cs="Arial"/>
                <w:sz w:val="20"/>
                <w:szCs w:val="20"/>
              </w:rPr>
              <w:t xml:space="preserve">, </w:t>
            </w:r>
            <w:r w:rsidR="003D4A69">
              <w:rPr>
                <w:rFonts w:ascii="Verdana" w:hAnsi="Verdana" w:cs="Arial"/>
                <w:sz w:val="20"/>
                <w:szCs w:val="20"/>
              </w:rPr>
              <w:t>F.S.</w:t>
            </w:r>
            <w:r w:rsidR="00DF46AE">
              <w:rPr>
                <w:rFonts w:ascii="Verdana" w:hAnsi="Verdana" w:cs="Arial"/>
                <w:sz w:val="20"/>
                <w:szCs w:val="20"/>
              </w:rPr>
              <w:t xml:space="preserve"> </w:t>
            </w:r>
            <w:r w:rsidR="00764EE5" w:rsidRPr="00764EE5">
              <w:rPr>
                <w:rFonts w:ascii="Verdana" w:hAnsi="Verdana" w:cs="Arial"/>
                <w:sz w:val="20"/>
                <w:szCs w:val="20"/>
              </w:rPr>
              <w:t xml:space="preserve"> Most cases are brought for one of two reasons:  to challenge an agency rule as an invalid delegation of legislative authority; or to resolve disputes between an agency and a person whose substantial interests will be affected by an agency decision (other than a rule).  Division cases involve a very broad range of issues including taxation, elections, air pollution, child support, and business regulation.  </w:t>
            </w:r>
          </w:p>
          <w:p w:rsidR="00042849" w:rsidRPr="00764EE5" w:rsidRDefault="00042849" w:rsidP="003A7B72">
            <w:pPr>
              <w:autoSpaceDE w:val="0"/>
              <w:autoSpaceDN w:val="0"/>
              <w:adjustRightInd w:val="0"/>
              <w:spacing w:beforeLines="60" w:beforeAutospacing="1" w:afterLines="60" w:afterAutospacing="1"/>
              <w:ind w:left="720"/>
              <w:rPr>
                <w:rFonts w:ascii="Verdana" w:hAnsi="Verdana" w:cs="Arial"/>
                <w:sz w:val="20"/>
                <w:szCs w:val="20"/>
              </w:rPr>
            </w:pPr>
            <w:r w:rsidRPr="00764EE5">
              <w:rPr>
                <w:rFonts w:ascii="Verdana" w:hAnsi="Verdana" w:cs="Arial"/>
                <w:sz w:val="20"/>
                <w:szCs w:val="20"/>
              </w:rPr>
              <w:t xml:space="preserve">In Fiscal Year 2007-08, DOAH reports that the Adjudication of Disputes Program closed 5,810 cases with 81% being closed within 120 days of filing.  </w:t>
            </w:r>
          </w:p>
          <w:p w:rsidR="00042849" w:rsidRPr="00764EE5" w:rsidRDefault="00042849" w:rsidP="003A7B72">
            <w:pPr>
              <w:autoSpaceDE w:val="0"/>
              <w:autoSpaceDN w:val="0"/>
              <w:adjustRightInd w:val="0"/>
              <w:spacing w:beforeLines="60" w:afterLines="60"/>
              <w:ind w:left="720"/>
              <w:rPr>
                <w:rFonts w:ascii="Verdana" w:hAnsi="Verdana" w:cs="Arial"/>
                <w:sz w:val="20"/>
                <w:szCs w:val="20"/>
              </w:rPr>
            </w:pPr>
            <w:r w:rsidRPr="00764EE5">
              <w:rPr>
                <w:rFonts w:ascii="Verdana" w:hAnsi="Verdana" w:cs="Arial"/>
                <w:sz w:val="20"/>
                <w:szCs w:val="20"/>
              </w:rPr>
              <w:t xml:space="preserve">The Legislature appropriated 68 </w:t>
            </w:r>
            <w:r w:rsidR="003A7B72">
              <w:rPr>
                <w:rFonts w:ascii="Verdana" w:hAnsi="Verdana" w:cs="Arial"/>
                <w:sz w:val="20"/>
                <w:szCs w:val="20"/>
              </w:rPr>
              <w:t>FTE</w:t>
            </w:r>
            <w:r w:rsidR="003A7B72" w:rsidRPr="00764EE5">
              <w:rPr>
                <w:rFonts w:ascii="Verdana" w:hAnsi="Verdana" w:cs="Arial"/>
                <w:sz w:val="20"/>
                <w:szCs w:val="20"/>
              </w:rPr>
              <w:t xml:space="preserve"> </w:t>
            </w:r>
            <w:r w:rsidRPr="00764EE5">
              <w:rPr>
                <w:rFonts w:ascii="Verdana" w:hAnsi="Verdana" w:cs="Arial"/>
                <w:sz w:val="20"/>
                <w:szCs w:val="20"/>
              </w:rPr>
              <w:t xml:space="preserve">and $8.5 million for the adjudication of disputes in Fiscal Year 2009-10.  The primary source of funding comes from fee assessments to state agencies and other entities as specified in budgetary proviso, but the Division of Administrative Hearings also receives payments for contractual services provided to cities and counties.  Some state entities must pay </w:t>
            </w:r>
            <w:hyperlink r:id="rId12" w:history="1">
              <w:r w:rsidRPr="00764EE5">
                <w:rPr>
                  <w:rFonts w:ascii="Verdana" w:hAnsi="Verdana" w:cs="Arial"/>
                  <w:sz w:val="20"/>
                  <w:szCs w:val="20"/>
                </w:rPr>
                <w:t>filing fees</w:t>
              </w:r>
            </w:hyperlink>
            <w:r w:rsidRPr="00764EE5">
              <w:rPr>
                <w:rFonts w:ascii="Verdana" w:hAnsi="Verdana" w:cs="Arial"/>
                <w:sz w:val="20"/>
                <w:szCs w:val="20"/>
              </w:rPr>
              <w:t xml:space="preserve"> or </w:t>
            </w:r>
            <w:hyperlink r:id="rId13" w:history="1">
              <w:r w:rsidRPr="00764EE5">
                <w:rPr>
                  <w:rFonts w:ascii="Verdana" w:hAnsi="Verdana" w:cs="Arial"/>
                  <w:sz w:val="20"/>
                  <w:szCs w:val="20"/>
                </w:rPr>
                <w:t>other fees</w:t>
              </w:r>
            </w:hyperlink>
            <w:r w:rsidRPr="00764EE5">
              <w:rPr>
                <w:rFonts w:ascii="Verdana" w:hAnsi="Verdana" w:cs="Arial"/>
                <w:sz w:val="20"/>
                <w:szCs w:val="20"/>
              </w:rPr>
              <w:t xml:space="preserve">  to utilize DOAH’s hearing services.</w:t>
            </w:r>
          </w:p>
          <w:p w:rsidR="00042849" w:rsidRPr="00764EE5" w:rsidRDefault="00042849"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764EE5">
              <w:rPr>
                <w:rFonts w:ascii="Verdana" w:hAnsi="Verdana" w:cs="Arial"/>
                <w:sz w:val="20"/>
                <w:szCs w:val="20"/>
              </w:rPr>
              <w:t xml:space="preserve">The </w:t>
            </w:r>
            <w:r w:rsidRPr="00764EE5">
              <w:rPr>
                <w:rFonts w:ascii="Verdana" w:hAnsi="Verdana" w:cs="Arial"/>
                <w:b/>
                <w:sz w:val="20"/>
                <w:szCs w:val="20"/>
              </w:rPr>
              <w:t>Workers’ Compensation Appeals Program</w:t>
            </w:r>
            <w:r w:rsidRPr="00764EE5">
              <w:rPr>
                <w:rFonts w:ascii="Verdana" w:hAnsi="Verdana" w:cs="Arial"/>
                <w:sz w:val="20"/>
                <w:szCs w:val="20"/>
              </w:rPr>
              <w:t xml:space="preserve"> employs a </w:t>
            </w:r>
            <w:hyperlink r:id="rId14" w:history="1">
              <w:r w:rsidRPr="00764EE5">
                <w:rPr>
                  <w:rFonts w:ascii="Verdana" w:hAnsi="Verdana" w:cs="Arial"/>
                  <w:sz w:val="20"/>
                  <w:szCs w:val="20"/>
                </w:rPr>
                <w:t>deputy chief judge</w:t>
              </w:r>
            </w:hyperlink>
            <w:r w:rsidRPr="00764EE5">
              <w:rPr>
                <w:rFonts w:ascii="Verdana" w:hAnsi="Verdana" w:cs="Arial"/>
                <w:sz w:val="20"/>
                <w:szCs w:val="20"/>
              </w:rPr>
              <w:t xml:space="preserve"> who heads the </w:t>
            </w:r>
            <w:hyperlink r:id="rId15" w:history="1">
              <w:r w:rsidRPr="00764EE5">
                <w:rPr>
                  <w:rFonts w:ascii="Verdana" w:hAnsi="Verdana" w:cs="Arial"/>
                  <w:sz w:val="20"/>
                  <w:szCs w:val="20"/>
                </w:rPr>
                <w:t>Office of the Judges of Compensation Claims</w:t>
              </w:r>
            </w:hyperlink>
            <w:r w:rsidRPr="00764EE5">
              <w:rPr>
                <w:rFonts w:ascii="Verdana" w:hAnsi="Verdana" w:cs="Arial"/>
                <w:sz w:val="20"/>
                <w:szCs w:val="20"/>
              </w:rPr>
              <w:t xml:space="preserve"> and reports to the division director.  The 33 judges of compensation claims are located in </w:t>
            </w:r>
            <w:hyperlink r:id="rId16" w:history="1">
              <w:r w:rsidRPr="00764EE5">
                <w:rPr>
                  <w:rFonts w:ascii="Verdana" w:hAnsi="Verdana" w:cs="Arial"/>
                  <w:sz w:val="20"/>
                  <w:szCs w:val="20"/>
                </w:rPr>
                <w:t>17 regional offices</w:t>
              </w:r>
            </w:hyperlink>
            <w:r w:rsidRPr="00764EE5">
              <w:rPr>
                <w:rFonts w:ascii="Verdana" w:hAnsi="Verdana" w:cs="Arial"/>
                <w:sz w:val="20"/>
                <w:szCs w:val="20"/>
              </w:rPr>
              <w:t xml:space="preserve">.  </w:t>
            </w:r>
            <w:r w:rsidR="00764EE5" w:rsidRPr="00764EE5">
              <w:rPr>
                <w:rFonts w:ascii="Verdana" w:hAnsi="Verdana" w:cs="Arial"/>
                <w:sz w:val="20"/>
                <w:szCs w:val="20"/>
              </w:rPr>
              <w:t xml:space="preserve">Judges of compensation claims hear disputes brought under the provisions of the state’s workers’ compensation law, Ch. 440, </w:t>
            </w:r>
            <w:r w:rsidR="003D4A69">
              <w:rPr>
                <w:rFonts w:ascii="Verdana" w:hAnsi="Verdana" w:cs="Arial"/>
                <w:sz w:val="20"/>
                <w:szCs w:val="20"/>
              </w:rPr>
              <w:t>F.S.</w:t>
            </w:r>
          </w:p>
          <w:p w:rsidR="00042849" w:rsidRPr="00764EE5" w:rsidRDefault="00042849" w:rsidP="003A7B72">
            <w:pPr>
              <w:autoSpaceDE w:val="0"/>
              <w:autoSpaceDN w:val="0"/>
              <w:adjustRightInd w:val="0"/>
              <w:spacing w:beforeLines="60" w:beforeAutospacing="1" w:afterLines="60" w:afterAutospacing="1"/>
              <w:ind w:left="720"/>
              <w:rPr>
                <w:rFonts w:ascii="Verdana" w:hAnsi="Verdana" w:cs="Arial"/>
                <w:sz w:val="20"/>
                <w:szCs w:val="20"/>
              </w:rPr>
            </w:pPr>
            <w:r w:rsidRPr="00764EE5">
              <w:rPr>
                <w:rFonts w:ascii="Verdana" w:hAnsi="Verdana" w:cs="Arial"/>
                <w:sz w:val="20"/>
                <w:szCs w:val="20"/>
              </w:rPr>
              <w:lastRenderedPageBreak/>
              <w:t>The Workers’ Compensation Appeals Program closed 116,579 petitions.  On average, 539 days passed between the date a petition was filed and the date a disposition order was issued, and 52% of closures were timely (within 210 days of filing).  Moreover, 88% of mediations were timely, and 50% of concluded mediations resolved all is</w:t>
            </w:r>
            <w:r w:rsidR="00462EF0">
              <w:rPr>
                <w:rFonts w:ascii="Verdana" w:hAnsi="Verdana" w:cs="Arial"/>
                <w:sz w:val="20"/>
                <w:szCs w:val="20"/>
              </w:rPr>
              <w:t>sues (except attorney’s fees).</w:t>
            </w:r>
          </w:p>
          <w:p w:rsidR="007F2C26" w:rsidRPr="00764EE5" w:rsidRDefault="00042849" w:rsidP="003A7B72">
            <w:pPr>
              <w:autoSpaceDE w:val="0"/>
              <w:autoSpaceDN w:val="0"/>
              <w:adjustRightInd w:val="0"/>
              <w:spacing w:beforeLines="60" w:afterLines="60"/>
              <w:ind w:left="720"/>
              <w:rPr>
                <w:rFonts w:ascii="Verdana" w:hAnsi="Verdana" w:cs="Arial"/>
                <w:sz w:val="20"/>
                <w:szCs w:val="20"/>
              </w:rPr>
            </w:pPr>
            <w:r w:rsidRPr="00764EE5">
              <w:rPr>
                <w:rFonts w:ascii="Verdana" w:hAnsi="Verdana" w:cs="Arial"/>
                <w:sz w:val="20"/>
                <w:szCs w:val="20"/>
              </w:rPr>
              <w:t xml:space="preserve">The Legislature appropriated 198 </w:t>
            </w:r>
            <w:r w:rsidR="003A7B72">
              <w:rPr>
                <w:rFonts w:ascii="Verdana" w:hAnsi="Verdana" w:cs="Arial"/>
                <w:sz w:val="20"/>
                <w:szCs w:val="20"/>
              </w:rPr>
              <w:t>FTE</w:t>
            </w:r>
            <w:r w:rsidR="003A7B72" w:rsidRPr="00764EE5">
              <w:rPr>
                <w:rFonts w:ascii="Verdana" w:hAnsi="Verdana" w:cs="Arial"/>
                <w:sz w:val="20"/>
                <w:szCs w:val="20"/>
              </w:rPr>
              <w:t xml:space="preserve"> </w:t>
            </w:r>
            <w:r w:rsidRPr="00764EE5">
              <w:rPr>
                <w:rFonts w:ascii="Verdana" w:hAnsi="Verdana" w:cs="Arial"/>
                <w:sz w:val="20"/>
                <w:szCs w:val="20"/>
              </w:rPr>
              <w:t xml:space="preserve">and $18 million for the Workers’ Compensation Appeals Program in Fiscal Year 2009-10.  These funds are derived from </w:t>
            </w:r>
            <w:hyperlink r:id="rId17" w:history="1">
              <w:r w:rsidRPr="00764EE5">
                <w:rPr>
                  <w:rFonts w:ascii="Verdana" w:hAnsi="Verdana" w:cs="Arial"/>
                  <w:sz w:val="20"/>
                  <w:szCs w:val="20"/>
                </w:rPr>
                <w:t>assessments</w:t>
              </w:r>
            </w:hyperlink>
            <w:r w:rsidRPr="00764EE5">
              <w:rPr>
                <w:rFonts w:ascii="Verdana" w:hAnsi="Verdana" w:cs="Arial"/>
                <w:sz w:val="20"/>
                <w:szCs w:val="20"/>
              </w:rPr>
              <w:t xml:space="preserve"> paid by insurance carriers writing workers’ compensation insurance and self-insurers, into the </w:t>
            </w:r>
            <w:hyperlink r:id="rId18" w:history="1">
              <w:r w:rsidRPr="00764EE5">
                <w:rPr>
                  <w:rFonts w:ascii="Verdana" w:hAnsi="Verdana" w:cs="Arial"/>
                  <w:sz w:val="20"/>
                  <w:szCs w:val="20"/>
                </w:rPr>
                <w:t>Workers’ Compensation Administration Trust Fund</w:t>
              </w:r>
            </w:hyperlink>
            <w:r w:rsidR="00462EF0">
              <w:rPr>
                <w:rFonts w:ascii="Verdana" w:hAnsi="Verdana" w:cs="Arial"/>
                <w:sz w:val="20"/>
                <w:szCs w:val="20"/>
              </w:rPr>
              <w:t xml:space="preserve">. </w:t>
            </w:r>
            <w:r w:rsidRPr="00764EE5">
              <w:rPr>
                <w:rFonts w:ascii="Verdana" w:hAnsi="Verdana" w:cs="Arial"/>
                <w:sz w:val="20"/>
                <w:szCs w:val="20"/>
              </w:rPr>
              <w:t>The assessment may not exceed 2.75% of net premiums collected.  The assessment rate for calendar year 2009 is 0.80%.</w:t>
            </w: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FFFFFF"/>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FFFFFF"/>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461C85" w:rsidRPr="009A10F2" w:rsidTr="00BF5DD0">
        <w:tc>
          <w:tcPr>
            <w:tcW w:w="5000" w:type="pct"/>
            <w:gridSpan w:val="3"/>
            <w:shd w:val="pct10" w:color="auto" w:fill="auto"/>
          </w:tcPr>
          <w:p w:rsidR="00461C85" w:rsidRPr="00472703" w:rsidRDefault="007A369A" w:rsidP="003A7B72">
            <w:pPr>
              <w:autoSpaceDE w:val="0"/>
              <w:autoSpaceDN w:val="0"/>
              <w:adjustRightInd w:val="0"/>
              <w:spacing w:beforeLines="60" w:afterLines="60"/>
              <w:ind w:left="360"/>
              <w:rPr>
                <w:rFonts w:ascii="Verdana" w:hAnsi="Verdana" w:cs="Arial"/>
                <w:b/>
                <w:sz w:val="20"/>
                <w:szCs w:val="20"/>
              </w:rPr>
            </w:pPr>
            <w:proofErr w:type="spellStart"/>
            <w:r w:rsidRPr="006E4FAE">
              <w:rPr>
                <w:rFonts w:ascii="Verdana" w:hAnsi="Verdana" w:cs="Arial"/>
                <w:b/>
                <w:sz w:val="20"/>
                <w:szCs w:val="20"/>
              </w:rPr>
              <w:lastRenderedPageBreak/>
              <w:t>Southwood</w:t>
            </w:r>
            <w:proofErr w:type="spellEnd"/>
            <w:r w:rsidRPr="006E4FAE">
              <w:rPr>
                <w:rFonts w:ascii="Verdana" w:hAnsi="Verdana" w:cs="Arial"/>
                <w:b/>
                <w:sz w:val="20"/>
                <w:szCs w:val="20"/>
              </w:rPr>
              <w:t xml:space="preserve"> Shared Resource Center</w:t>
            </w:r>
          </w:p>
        </w:tc>
      </w:tr>
      <w:tr w:rsidR="0058321D" w:rsidRPr="009A10F2" w:rsidTr="00BF5DD0">
        <w:tc>
          <w:tcPr>
            <w:tcW w:w="314" w:type="pct"/>
          </w:tcPr>
          <w:p w:rsidR="0058321D" w:rsidRPr="009A10F2" w:rsidRDefault="0058321D" w:rsidP="003A7B72">
            <w:pPr>
              <w:spacing w:beforeLines="60" w:afterLines="60"/>
              <w:jc w:val="center"/>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3C0272" w:rsidRPr="007611DC" w:rsidRDefault="003C0272" w:rsidP="003A7B72">
            <w:pPr>
              <w:autoSpaceDE w:val="0"/>
              <w:autoSpaceDN w:val="0"/>
              <w:adjustRightInd w:val="0"/>
              <w:spacing w:beforeLines="60" w:afterLines="60"/>
              <w:ind w:left="360"/>
              <w:rPr>
                <w:rFonts w:ascii="Verdana" w:hAnsi="Verdana" w:cs="Arial"/>
                <w:sz w:val="20"/>
                <w:szCs w:val="20"/>
              </w:rPr>
            </w:pPr>
            <w:r w:rsidRPr="007611DC">
              <w:rPr>
                <w:rFonts w:ascii="Verdana" w:hAnsi="Verdana" w:cs="Arial"/>
                <w:sz w:val="20"/>
                <w:szCs w:val="20"/>
              </w:rPr>
              <w:t xml:space="preserve">The </w:t>
            </w:r>
            <w:proofErr w:type="spellStart"/>
            <w:r w:rsidR="006E4FAE" w:rsidRPr="007611DC">
              <w:rPr>
                <w:rFonts w:ascii="Verdana" w:hAnsi="Verdana" w:cs="Arial"/>
                <w:sz w:val="20"/>
                <w:szCs w:val="20"/>
              </w:rPr>
              <w:t>Southwood</w:t>
            </w:r>
            <w:proofErr w:type="spellEnd"/>
            <w:r w:rsidR="006E4FAE" w:rsidRPr="007611DC">
              <w:rPr>
                <w:rFonts w:ascii="Verdana" w:hAnsi="Verdana" w:cs="Arial"/>
                <w:sz w:val="20"/>
                <w:szCs w:val="20"/>
              </w:rPr>
              <w:t xml:space="preserve"> Shared Resource Center </w:t>
            </w:r>
            <w:r w:rsidR="007A369A" w:rsidRPr="007611DC">
              <w:rPr>
                <w:rFonts w:ascii="Verdana" w:hAnsi="Verdana" w:cs="Arial"/>
                <w:sz w:val="20"/>
                <w:szCs w:val="20"/>
              </w:rPr>
              <w:t xml:space="preserve">(SSRC) </w:t>
            </w:r>
            <w:r w:rsidR="006E4FAE" w:rsidRPr="007611DC">
              <w:rPr>
                <w:rFonts w:ascii="Verdana" w:hAnsi="Verdana" w:cs="Arial"/>
                <w:sz w:val="20"/>
                <w:szCs w:val="20"/>
              </w:rPr>
              <w:t xml:space="preserve">was established by the 2008 Legislature effective July 1, 2008, and is designated as a state primary data center.  </w:t>
            </w:r>
            <w:r w:rsidRPr="007611DC">
              <w:rPr>
                <w:rFonts w:ascii="Verdana" w:hAnsi="Verdana" w:cs="Arial"/>
                <w:sz w:val="20"/>
                <w:szCs w:val="20"/>
              </w:rPr>
              <w:t xml:space="preserve">The SSRC was created as a separate entity and identified as the first primary data center for the state, pursuant to Ch. 2008-116, L.O.F.  </w:t>
            </w:r>
            <w:r w:rsidR="006E4FAE" w:rsidRPr="007611DC">
              <w:rPr>
                <w:rFonts w:ascii="Verdana" w:hAnsi="Verdana" w:cs="Arial"/>
                <w:sz w:val="20"/>
                <w:szCs w:val="20"/>
              </w:rPr>
              <w:t xml:space="preserve">It is located within the Department of Management Services for administrative purposes only.  </w:t>
            </w:r>
            <w:r w:rsidRPr="007611DC">
              <w:rPr>
                <w:rFonts w:ascii="Verdana" w:hAnsi="Verdana" w:cs="Arial"/>
                <w:sz w:val="20"/>
                <w:szCs w:val="20"/>
              </w:rPr>
              <w:t>T</w:t>
            </w:r>
          </w:p>
          <w:p w:rsidR="003C0272" w:rsidRPr="007611DC" w:rsidRDefault="003C0272" w:rsidP="003A7B72">
            <w:pPr>
              <w:autoSpaceDE w:val="0"/>
              <w:autoSpaceDN w:val="0"/>
              <w:adjustRightInd w:val="0"/>
              <w:spacing w:beforeLines="60" w:afterLines="60"/>
              <w:ind w:left="360"/>
              <w:rPr>
                <w:rFonts w:ascii="Verdana" w:hAnsi="Verdana" w:cs="Arial"/>
                <w:sz w:val="20"/>
                <w:szCs w:val="20"/>
              </w:rPr>
            </w:pPr>
            <w:r w:rsidRPr="007611DC">
              <w:rPr>
                <w:rFonts w:ascii="Verdana" w:hAnsi="Verdana" w:cs="Arial"/>
                <w:sz w:val="20"/>
                <w:szCs w:val="20"/>
              </w:rPr>
              <w:t xml:space="preserve">The SSRC is a shared use, state-of-the-art primary data center facility owned and operated by the State of Florida with oversight from the SSRC Board of Trustees. Members of the Board of Trustees are appointed by agency heads or CEO’s of the customer entities using the facility. The number of seats each entity has on the board is determined by the total amount of revenue each agency generates. </w:t>
            </w:r>
            <w:r w:rsidR="007611DC" w:rsidRPr="007611DC">
              <w:rPr>
                <w:rFonts w:ascii="Verdana" w:hAnsi="Verdana" w:cs="Arial"/>
                <w:sz w:val="20"/>
                <w:szCs w:val="20"/>
              </w:rPr>
              <w:t>The SSRC is staffed 7 X 24 X 365 and currently supports over 50 agencies, boards, commissions and municipalities with various data processing and technology services, providing clients with the latest in security, redundancy and connectivity.</w:t>
            </w:r>
          </w:p>
          <w:p w:rsidR="007F2C26" w:rsidRPr="007611DC" w:rsidRDefault="003C0272" w:rsidP="003A7B72">
            <w:pPr>
              <w:autoSpaceDE w:val="0"/>
              <w:autoSpaceDN w:val="0"/>
              <w:adjustRightInd w:val="0"/>
              <w:spacing w:beforeLines="60" w:afterLines="60"/>
              <w:ind w:left="360"/>
              <w:rPr>
                <w:rFonts w:ascii="Verdana" w:hAnsi="Verdana" w:cs="Arial"/>
                <w:sz w:val="20"/>
                <w:szCs w:val="20"/>
              </w:rPr>
            </w:pPr>
            <w:r w:rsidRPr="007611DC">
              <w:rPr>
                <w:rFonts w:ascii="Verdana" w:hAnsi="Verdana" w:cs="Arial"/>
                <w:sz w:val="20"/>
                <w:szCs w:val="20"/>
              </w:rPr>
              <w:t>The Legislature appropriated $16.6</w:t>
            </w:r>
            <w:r w:rsidR="003A7B72">
              <w:rPr>
                <w:rFonts w:ascii="Verdana" w:hAnsi="Verdana" w:cs="Arial"/>
                <w:sz w:val="20"/>
                <w:szCs w:val="20"/>
              </w:rPr>
              <w:t xml:space="preserve"> million and 70 FTE</w:t>
            </w:r>
            <w:r w:rsidRPr="007611DC">
              <w:rPr>
                <w:rFonts w:ascii="Verdana" w:hAnsi="Verdana" w:cs="Arial"/>
                <w:sz w:val="20"/>
                <w:szCs w:val="20"/>
              </w:rPr>
              <w:t xml:space="preserve"> to the center for Fiscal Year 2009-10.</w:t>
            </w: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58321D" w:rsidRPr="009A10F2" w:rsidTr="00BF5DD0">
        <w:tc>
          <w:tcPr>
            <w:tcW w:w="5000" w:type="pct"/>
            <w:gridSpan w:val="3"/>
            <w:shd w:val="pct10" w:color="auto" w:fill="auto"/>
          </w:tcPr>
          <w:p w:rsidR="0058321D" w:rsidRPr="00472703" w:rsidRDefault="006E4FAE" w:rsidP="003A7B72">
            <w:pPr>
              <w:autoSpaceDE w:val="0"/>
              <w:autoSpaceDN w:val="0"/>
              <w:adjustRightInd w:val="0"/>
              <w:spacing w:beforeLines="60" w:afterLines="60"/>
              <w:ind w:left="360"/>
              <w:rPr>
                <w:rFonts w:ascii="Verdana" w:hAnsi="Verdana" w:cs="Arial"/>
                <w:b/>
                <w:sz w:val="20"/>
                <w:szCs w:val="20"/>
              </w:rPr>
            </w:pPr>
            <w:r w:rsidRPr="006E4FAE">
              <w:rPr>
                <w:rFonts w:ascii="Verdana" w:hAnsi="Verdana" w:cs="Arial"/>
                <w:b/>
                <w:sz w:val="20"/>
                <w:szCs w:val="20"/>
              </w:rPr>
              <w:t>Florida Commission on Human Relations</w:t>
            </w:r>
          </w:p>
        </w:tc>
      </w:tr>
      <w:tr w:rsidR="0058321D" w:rsidRPr="009A10F2" w:rsidTr="00BF5DD0">
        <w:tc>
          <w:tcPr>
            <w:tcW w:w="314" w:type="pct"/>
          </w:tcPr>
          <w:p w:rsidR="0058321D" w:rsidRPr="009A10F2" w:rsidRDefault="0058321D" w:rsidP="003A7B72">
            <w:pPr>
              <w:spacing w:beforeLines="60" w:afterLines="60"/>
              <w:jc w:val="center"/>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462EF0" w:rsidRPr="00894F10" w:rsidRDefault="006E4FAE" w:rsidP="003A7B72">
            <w:pPr>
              <w:autoSpaceDE w:val="0"/>
              <w:autoSpaceDN w:val="0"/>
              <w:adjustRightInd w:val="0"/>
              <w:spacing w:beforeLines="60" w:afterLines="60"/>
              <w:ind w:left="360"/>
              <w:rPr>
                <w:rFonts w:ascii="Verdana" w:hAnsi="Verdana" w:cs="Arial"/>
                <w:sz w:val="20"/>
                <w:szCs w:val="20"/>
              </w:rPr>
            </w:pPr>
            <w:r w:rsidRPr="007A369A">
              <w:rPr>
                <w:rFonts w:ascii="Verdana" w:hAnsi="Verdana" w:cs="Arial"/>
                <w:sz w:val="20"/>
                <w:szCs w:val="20"/>
              </w:rPr>
              <w:t xml:space="preserve">Florida Commission on Human Relations </w:t>
            </w:r>
            <w:r w:rsidR="007A369A">
              <w:rPr>
                <w:rFonts w:ascii="Verdana" w:hAnsi="Verdana" w:cs="Arial"/>
                <w:sz w:val="20"/>
                <w:szCs w:val="20"/>
              </w:rPr>
              <w:t xml:space="preserve">(FCHR) </w:t>
            </w:r>
            <w:r w:rsidRPr="007A369A">
              <w:rPr>
                <w:rFonts w:ascii="Verdana" w:hAnsi="Verdana" w:cs="Arial"/>
                <w:sz w:val="20"/>
                <w:szCs w:val="20"/>
              </w:rPr>
              <w:t xml:space="preserve">investigates allegations regarding discrimination based on sex, age, race, national origin, religion, disability, color, familial status or marital status in the areas of employment, housing, public accommodations and certain private club memberships.  The commission also investigates complaints of state employee whistle-blower retaliation.  In addition, the commission provides training and technical assistance to businesses, individuals, and community groups regarding the laws and best practices in the areas of housing and employment discrimination, provides training on hate crimes and human trafficking, and facilitates community forums to promote open dialogue and foster tolerant communities.  </w:t>
            </w:r>
            <w:r w:rsidR="00462EF0" w:rsidRPr="00894F10">
              <w:rPr>
                <w:rFonts w:ascii="Verdana" w:hAnsi="Verdana" w:cs="Arial"/>
                <w:sz w:val="20"/>
                <w:szCs w:val="20"/>
              </w:rPr>
              <w:t xml:space="preserve">The commission provides these services by carrying out responsibilities under the </w:t>
            </w:r>
            <w:r w:rsidR="00894F10">
              <w:rPr>
                <w:rFonts w:ascii="Verdana" w:hAnsi="Verdana" w:cs="Arial"/>
                <w:sz w:val="20"/>
                <w:szCs w:val="20"/>
              </w:rPr>
              <w:t>following acts.</w:t>
            </w:r>
          </w:p>
          <w:p w:rsidR="00462EF0" w:rsidRPr="00894F10" w:rsidRDefault="00462EF0"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894F10">
              <w:rPr>
                <w:rFonts w:ascii="Verdana" w:hAnsi="Verdana" w:cs="Arial"/>
                <w:sz w:val="20"/>
                <w:szCs w:val="20"/>
              </w:rPr>
              <w:t> </w:t>
            </w:r>
            <w:hyperlink r:id="rId19" w:history="1">
              <w:r w:rsidRPr="00894F10">
                <w:rPr>
                  <w:rFonts w:ascii="Verdana" w:hAnsi="Verdana" w:cs="Arial"/>
                  <w:b/>
                  <w:sz w:val="20"/>
                  <w:szCs w:val="20"/>
                </w:rPr>
                <w:t>Florida Civil Rights Act</w:t>
              </w:r>
            </w:hyperlink>
            <w:r w:rsidRPr="00894F10">
              <w:rPr>
                <w:rFonts w:ascii="Verdana" w:hAnsi="Verdana" w:cs="Arial"/>
                <w:sz w:val="20"/>
                <w:szCs w:val="20"/>
              </w:rPr>
              <w:t xml:space="preserve"> cases include violation of any Florida statute that makes it unlawful to discriminate because of race, color, religion, gender, national origin, age, disability, familial status, or marital status in the areas of employment, housing, or certain public accommodations.</w:t>
            </w:r>
          </w:p>
          <w:p w:rsidR="00462EF0" w:rsidRPr="00894F10" w:rsidRDefault="00462EF0"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894F10">
              <w:rPr>
                <w:rFonts w:ascii="Verdana" w:hAnsi="Verdana" w:cs="Arial"/>
                <w:b/>
                <w:sz w:val="20"/>
                <w:szCs w:val="20"/>
              </w:rPr>
              <w:lastRenderedPageBreak/>
              <w:t> </w:t>
            </w:r>
            <w:hyperlink r:id="rId20" w:history="1">
              <w:r w:rsidRPr="00894F10">
                <w:rPr>
                  <w:rFonts w:ascii="Verdana" w:hAnsi="Verdana" w:cs="Arial"/>
                  <w:b/>
                  <w:sz w:val="20"/>
                  <w:szCs w:val="20"/>
                </w:rPr>
                <w:t>Fair Housing Act</w:t>
              </w:r>
            </w:hyperlink>
            <w:r w:rsidRPr="00894F10">
              <w:rPr>
                <w:rFonts w:ascii="Verdana" w:hAnsi="Verdana" w:cs="Arial"/>
                <w:sz w:val="20"/>
                <w:szCs w:val="20"/>
              </w:rPr>
              <w:t xml:space="preserve"> cases concern discrimination in the sale of rental or housing, brokerage services, financing of housing or residential real estate transactions, and land use decisions and permitting for development.</w:t>
            </w:r>
          </w:p>
          <w:p w:rsidR="00462EF0" w:rsidRPr="00894F10" w:rsidRDefault="00462EF0"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894F10">
              <w:rPr>
                <w:rFonts w:ascii="Verdana" w:hAnsi="Verdana" w:cs="Arial"/>
                <w:sz w:val="20"/>
                <w:szCs w:val="20"/>
              </w:rPr>
              <w:t> </w:t>
            </w:r>
            <w:hyperlink r:id="rId21" w:history="1">
              <w:r w:rsidRPr="00894F10">
                <w:rPr>
                  <w:rFonts w:ascii="Verdana" w:hAnsi="Verdana" w:cs="Arial"/>
                  <w:b/>
                  <w:sz w:val="20"/>
                  <w:szCs w:val="20"/>
                </w:rPr>
                <w:t>Whistle-Blower Act</w:t>
              </w:r>
            </w:hyperlink>
            <w:r w:rsidRPr="00894F10">
              <w:rPr>
                <w:rFonts w:ascii="Verdana" w:hAnsi="Verdana" w:cs="Arial"/>
                <w:sz w:val="20"/>
                <w:szCs w:val="20"/>
              </w:rPr>
              <w:t xml:space="preserve"> cases pertain to retaliation against any employee who reports violations of the law on the part of a state agency or discloses information alleging improper use of governmental office, gross waste of funds or other abuse or neglect of duty on the part of an agency, public officer, or employee.</w:t>
            </w:r>
          </w:p>
          <w:p w:rsidR="003F05D9" w:rsidRPr="00894F10" w:rsidRDefault="00010A4B" w:rsidP="003A7B72">
            <w:pPr>
              <w:autoSpaceDE w:val="0"/>
              <w:autoSpaceDN w:val="0"/>
              <w:adjustRightInd w:val="0"/>
              <w:spacing w:beforeLines="60" w:afterLines="60"/>
              <w:ind w:left="360"/>
              <w:rPr>
                <w:rFonts w:ascii="Verdana" w:hAnsi="Verdana" w:cs="Arial"/>
                <w:sz w:val="20"/>
                <w:szCs w:val="20"/>
              </w:rPr>
            </w:pPr>
            <w:r w:rsidRPr="00894F10">
              <w:rPr>
                <w:rFonts w:ascii="Verdana" w:hAnsi="Verdana" w:cs="Arial"/>
                <w:sz w:val="20"/>
                <w:szCs w:val="20"/>
              </w:rPr>
              <w:t>Section </w:t>
            </w:r>
            <w:hyperlink r:id="rId22" w:history="1">
              <w:r w:rsidRPr="00894F10">
                <w:rPr>
                  <w:rFonts w:ascii="Verdana" w:hAnsi="Verdana" w:cs="Arial"/>
                  <w:sz w:val="20"/>
                  <w:szCs w:val="20"/>
                </w:rPr>
                <w:t>760.11(4)</w:t>
              </w:r>
            </w:hyperlink>
            <w:r w:rsidRPr="00894F10">
              <w:rPr>
                <w:rFonts w:ascii="Verdana" w:hAnsi="Verdana" w:cs="Arial"/>
                <w:sz w:val="20"/>
                <w:szCs w:val="20"/>
              </w:rPr>
              <w:t xml:space="preserve">, Florida Statutes, provides that when the commission determines reasonable cause that a discriminatory practice has occurred in violation of the Florida Civil Rights Act of 1992, the aggrieved person may either bring civil action against the person named in the complaint in a court of competent jurisdiction or may request an administrative hearing with the Division of Administrative Hearings (DOAH).  Upon receipt of recommended orders from DOAH administrative law judges, the commission has 90 days to issue a final order by adopting, rejecting or modifying the recommended order.  </w:t>
            </w:r>
          </w:p>
          <w:p w:rsidR="00010A4B" w:rsidRDefault="00010A4B" w:rsidP="003A7B72">
            <w:pPr>
              <w:autoSpaceDE w:val="0"/>
              <w:autoSpaceDN w:val="0"/>
              <w:adjustRightInd w:val="0"/>
              <w:spacing w:beforeLines="60" w:afterLines="60"/>
              <w:ind w:left="360"/>
              <w:rPr>
                <w:rFonts w:ascii="Verdana" w:hAnsi="Verdana" w:cs="Arial"/>
                <w:sz w:val="20"/>
                <w:szCs w:val="20"/>
              </w:rPr>
            </w:pPr>
            <w:r w:rsidRPr="00894F10">
              <w:rPr>
                <w:rFonts w:ascii="Verdana" w:hAnsi="Verdana" w:cs="Arial"/>
                <w:sz w:val="20"/>
                <w:szCs w:val="20"/>
              </w:rPr>
              <w:t xml:space="preserve">The commission </w:t>
            </w:r>
            <w:r w:rsidR="00894F10">
              <w:rPr>
                <w:rFonts w:ascii="Verdana" w:hAnsi="Verdana" w:cs="Arial"/>
                <w:sz w:val="20"/>
                <w:szCs w:val="20"/>
              </w:rPr>
              <w:t>is comprised of</w:t>
            </w:r>
            <w:r w:rsidRPr="00894F10">
              <w:rPr>
                <w:rFonts w:ascii="Verdana" w:hAnsi="Verdana" w:cs="Arial"/>
                <w:sz w:val="20"/>
                <w:szCs w:val="20"/>
              </w:rPr>
              <w:t xml:space="preserve"> </w:t>
            </w:r>
            <w:hyperlink r:id="rId23" w:history="1">
              <w:r w:rsidRPr="00894F10">
                <w:rPr>
                  <w:rFonts w:ascii="Verdana" w:hAnsi="Verdana" w:cs="Arial"/>
                  <w:sz w:val="20"/>
                  <w:szCs w:val="20"/>
                </w:rPr>
                <w:t>12 members</w:t>
              </w:r>
            </w:hyperlink>
            <w:r w:rsidRPr="00894F10">
              <w:rPr>
                <w:rFonts w:ascii="Verdana" w:hAnsi="Verdana" w:cs="Arial"/>
                <w:sz w:val="20"/>
                <w:szCs w:val="20"/>
              </w:rPr>
              <w:t xml:space="preserve"> appointed by the Governor for four-year terms and subject to confirmation by the Florida Senate.  Members of the commission broadly represent various racial, religious, ethnic, social, economic, political, and professional groups within the state, with at least one member age 60 or older.</w:t>
            </w:r>
          </w:p>
          <w:p w:rsidR="00894F10" w:rsidRPr="00894F10" w:rsidRDefault="00894F10" w:rsidP="003A7B72">
            <w:pPr>
              <w:autoSpaceDE w:val="0"/>
              <w:autoSpaceDN w:val="0"/>
              <w:adjustRightInd w:val="0"/>
              <w:spacing w:beforeLines="60" w:afterLines="60"/>
              <w:ind w:left="360"/>
              <w:rPr>
                <w:rFonts w:ascii="Verdana" w:hAnsi="Verdana" w:cs="Arial"/>
                <w:sz w:val="20"/>
                <w:szCs w:val="20"/>
              </w:rPr>
            </w:pPr>
            <w:r w:rsidRPr="00764EE5">
              <w:rPr>
                <w:rFonts w:ascii="Verdana" w:hAnsi="Verdana" w:cs="Arial"/>
                <w:sz w:val="20"/>
                <w:szCs w:val="20"/>
              </w:rPr>
              <w:t>In Fiscal Year 2007-08</w:t>
            </w:r>
            <w:r w:rsidRPr="00894F10">
              <w:rPr>
                <w:rFonts w:ascii="Verdana" w:hAnsi="Verdana" w:cs="Arial"/>
                <w:sz w:val="20"/>
                <w:szCs w:val="20"/>
              </w:rPr>
              <w:t xml:space="preserve">, </w:t>
            </w:r>
            <w:r>
              <w:rPr>
                <w:rFonts w:ascii="Verdana" w:hAnsi="Verdana" w:cs="Arial"/>
                <w:sz w:val="20"/>
                <w:szCs w:val="20"/>
              </w:rPr>
              <w:t>79</w:t>
            </w:r>
            <w:r w:rsidRPr="00894F10">
              <w:rPr>
                <w:rFonts w:ascii="Verdana" w:hAnsi="Verdana" w:cs="Arial"/>
                <w:sz w:val="20"/>
                <w:szCs w:val="20"/>
              </w:rPr>
              <w:t>% of the civil cases were resolved within 180</w:t>
            </w:r>
            <w:r w:rsidR="00BF5DD0">
              <w:rPr>
                <w:rFonts w:ascii="Verdana" w:hAnsi="Verdana" w:cs="Arial"/>
                <w:sz w:val="20"/>
                <w:szCs w:val="20"/>
              </w:rPr>
              <w:t xml:space="preserve"> days of filing</w:t>
            </w:r>
            <w:r w:rsidRPr="00894F10">
              <w:rPr>
                <w:rFonts w:ascii="Verdana" w:hAnsi="Verdana" w:cs="Arial"/>
                <w:sz w:val="20"/>
                <w:szCs w:val="20"/>
              </w:rPr>
              <w:t xml:space="preserve">.  </w:t>
            </w:r>
          </w:p>
          <w:p w:rsidR="00894F10" w:rsidRPr="00894F10" w:rsidRDefault="00894F10" w:rsidP="003A7B72">
            <w:pPr>
              <w:autoSpaceDE w:val="0"/>
              <w:autoSpaceDN w:val="0"/>
              <w:adjustRightInd w:val="0"/>
              <w:spacing w:beforeLines="60" w:afterLines="60"/>
              <w:ind w:left="360"/>
              <w:rPr>
                <w:rFonts w:ascii="Verdana" w:hAnsi="Verdana" w:cs="Arial"/>
                <w:sz w:val="20"/>
                <w:szCs w:val="20"/>
              </w:rPr>
            </w:pPr>
            <w:r w:rsidRPr="00894F10">
              <w:rPr>
                <w:rFonts w:ascii="Verdana" w:hAnsi="Verdana" w:cs="Arial"/>
                <w:sz w:val="20"/>
                <w:szCs w:val="20"/>
              </w:rPr>
              <w:t xml:space="preserve">For Fiscal Year 2009-10, the Legislature appropriated the commission </w:t>
            </w:r>
            <w:r w:rsidR="00BF5DD0">
              <w:rPr>
                <w:rFonts w:ascii="Verdana" w:hAnsi="Verdana" w:cs="Arial"/>
                <w:sz w:val="20"/>
                <w:szCs w:val="20"/>
              </w:rPr>
              <w:t xml:space="preserve">ff.5 FTE and </w:t>
            </w:r>
            <w:r w:rsidRPr="00894F10">
              <w:rPr>
                <w:rFonts w:ascii="Verdana" w:hAnsi="Verdana" w:cs="Arial"/>
                <w:sz w:val="20"/>
                <w:szCs w:val="20"/>
              </w:rPr>
              <w:t xml:space="preserve">$4.3 million, </w:t>
            </w:r>
            <w:r w:rsidR="00BF5DD0">
              <w:rPr>
                <w:rFonts w:ascii="Verdana" w:hAnsi="Verdana" w:cs="Arial"/>
                <w:sz w:val="20"/>
                <w:szCs w:val="20"/>
              </w:rPr>
              <w:t xml:space="preserve">of which </w:t>
            </w:r>
            <w:r w:rsidRPr="00894F10">
              <w:rPr>
                <w:rFonts w:ascii="Verdana" w:hAnsi="Verdana" w:cs="Arial"/>
                <w:sz w:val="20"/>
                <w:szCs w:val="20"/>
              </w:rPr>
              <w:t>$3.2 million was from general revenue and $1.1 million from trust funds.</w:t>
            </w:r>
          </w:p>
          <w:p w:rsidR="00010A4B" w:rsidRPr="00894F10" w:rsidRDefault="00894F10" w:rsidP="003A7B72">
            <w:pPr>
              <w:autoSpaceDE w:val="0"/>
              <w:autoSpaceDN w:val="0"/>
              <w:adjustRightInd w:val="0"/>
              <w:spacing w:beforeLines="60" w:afterLines="60"/>
              <w:ind w:left="360"/>
              <w:rPr>
                <w:rFonts w:ascii="Verdana" w:hAnsi="Verdana" w:cs="Arial"/>
                <w:sz w:val="20"/>
                <w:szCs w:val="20"/>
              </w:rPr>
            </w:pPr>
            <w:r w:rsidRPr="00894F10">
              <w:rPr>
                <w:rFonts w:ascii="Verdana" w:hAnsi="Verdana" w:cs="Arial"/>
                <w:sz w:val="20"/>
                <w:szCs w:val="20"/>
              </w:rPr>
              <w:t xml:space="preserve">The Legislature also appropriated 55.5 </w:t>
            </w:r>
            <w:r w:rsidR="003A7B72">
              <w:rPr>
                <w:rFonts w:ascii="Verdana" w:hAnsi="Verdana" w:cs="Arial"/>
                <w:sz w:val="20"/>
                <w:szCs w:val="20"/>
              </w:rPr>
              <w:t>FTE</w:t>
            </w:r>
            <w:r w:rsidR="003A7B72" w:rsidRPr="00894F10">
              <w:rPr>
                <w:rFonts w:ascii="Verdana" w:hAnsi="Verdana" w:cs="Arial"/>
                <w:sz w:val="20"/>
                <w:szCs w:val="20"/>
              </w:rPr>
              <w:t xml:space="preserve"> </w:t>
            </w:r>
            <w:r w:rsidRPr="00894F10">
              <w:rPr>
                <w:rFonts w:ascii="Verdana" w:hAnsi="Verdana" w:cs="Arial"/>
                <w:sz w:val="20"/>
                <w:szCs w:val="20"/>
              </w:rPr>
              <w:t>for Fiscal Year 2009-10 for the commission to carry out its statutory responsibilities.</w:t>
            </w: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461C85" w:rsidRPr="009A10F2" w:rsidTr="00BF5DD0">
        <w:tc>
          <w:tcPr>
            <w:tcW w:w="5000" w:type="pct"/>
            <w:gridSpan w:val="3"/>
            <w:shd w:val="clear" w:color="auto" w:fill="CCCCCC"/>
          </w:tcPr>
          <w:p w:rsidR="00461C85" w:rsidRPr="00472703" w:rsidRDefault="006E4FAE" w:rsidP="003A7B72">
            <w:pPr>
              <w:autoSpaceDE w:val="0"/>
              <w:autoSpaceDN w:val="0"/>
              <w:adjustRightInd w:val="0"/>
              <w:spacing w:beforeLines="60" w:afterLines="60"/>
              <w:ind w:left="360"/>
              <w:rPr>
                <w:rFonts w:ascii="Verdana" w:hAnsi="Verdana" w:cs="Arial"/>
                <w:b/>
                <w:sz w:val="20"/>
                <w:szCs w:val="20"/>
              </w:rPr>
            </w:pPr>
            <w:r w:rsidRPr="006E4FAE">
              <w:rPr>
                <w:rFonts w:ascii="Verdana" w:hAnsi="Verdana" w:cs="Arial"/>
                <w:b/>
                <w:sz w:val="20"/>
                <w:szCs w:val="20"/>
              </w:rPr>
              <w:lastRenderedPageBreak/>
              <w:t>Public Employees Relations Commission</w:t>
            </w:r>
          </w:p>
        </w:tc>
      </w:tr>
      <w:tr w:rsidR="0058321D" w:rsidRPr="009A10F2" w:rsidTr="00BF5DD0">
        <w:tc>
          <w:tcPr>
            <w:tcW w:w="314" w:type="pct"/>
          </w:tcPr>
          <w:p w:rsidR="0058321D" w:rsidRPr="009A10F2" w:rsidRDefault="0058321D" w:rsidP="003A7B72">
            <w:pPr>
              <w:spacing w:beforeLines="60" w:afterLines="60"/>
              <w:jc w:val="center"/>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3D4A69" w:rsidRDefault="007A369A" w:rsidP="003A7B72">
            <w:pPr>
              <w:autoSpaceDE w:val="0"/>
              <w:autoSpaceDN w:val="0"/>
              <w:adjustRightInd w:val="0"/>
              <w:spacing w:beforeLines="60" w:afterLines="60"/>
              <w:ind w:left="360"/>
              <w:rPr>
                <w:rFonts w:ascii="Verdana" w:hAnsi="Verdana" w:cs="Arial"/>
                <w:sz w:val="20"/>
                <w:szCs w:val="20"/>
              </w:rPr>
            </w:pPr>
            <w:r w:rsidRPr="007A369A">
              <w:rPr>
                <w:rFonts w:ascii="Verdana" w:hAnsi="Verdana" w:cs="Arial"/>
                <w:sz w:val="20"/>
                <w:szCs w:val="20"/>
              </w:rPr>
              <w:t xml:space="preserve">The Public Employees Relations Commission </w:t>
            </w:r>
            <w:r w:rsidR="00764EE5" w:rsidRPr="007A369A">
              <w:rPr>
                <w:rFonts w:ascii="Verdana" w:hAnsi="Verdana" w:cs="Arial"/>
                <w:sz w:val="20"/>
                <w:szCs w:val="20"/>
              </w:rPr>
              <w:t xml:space="preserve">(PERC) </w:t>
            </w:r>
            <w:r w:rsidRPr="007A369A">
              <w:rPr>
                <w:rFonts w:ascii="Verdana" w:hAnsi="Verdana" w:cs="Arial"/>
                <w:sz w:val="20"/>
                <w:szCs w:val="20"/>
              </w:rPr>
              <w:t>is a quasi-judicial body</w:t>
            </w:r>
            <w:r w:rsidR="003D4A69" w:rsidRPr="003D4A69">
              <w:rPr>
                <w:color w:val="000000"/>
              </w:rPr>
              <w:t xml:space="preserve"> </w:t>
            </w:r>
            <w:r w:rsidR="003D4A69">
              <w:rPr>
                <w:rFonts w:ascii="Verdana" w:hAnsi="Verdana" w:cs="Arial"/>
                <w:sz w:val="20"/>
                <w:szCs w:val="20"/>
              </w:rPr>
              <w:t>created in s. 487.201, F.S</w:t>
            </w:r>
            <w:r w:rsidRPr="007A369A">
              <w:rPr>
                <w:rFonts w:ascii="Verdana" w:hAnsi="Verdana" w:cs="Arial"/>
                <w:sz w:val="20"/>
                <w:szCs w:val="20"/>
              </w:rPr>
              <w:t xml:space="preserve">.  Hearing officers hold evidentiary hearings and issue recommendations to the commission, which issues a final order based on its review of the record to determine whether evidence supports the hearing officer’s findings and if the law was applied correctly.  </w:t>
            </w:r>
            <w:r w:rsidR="003D4A69" w:rsidRPr="007A369A">
              <w:rPr>
                <w:rFonts w:ascii="Verdana" w:hAnsi="Verdana" w:cs="Arial"/>
                <w:sz w:val="20"/>
                <w:szCs w:val="20"/>
              </w:rPr>
              <w:t>Commission decisions can be appealed directly to the District Courts of Appeal.</w:t>
            </w:r>
            <w:r w:rsidR="003D4A69">
              <w:rPr>
                <w:rFonts w:ascii="Verdana" w:hAnsi="Verdana" w:cs="Arial"/>
                <w:sz w:val="20"/>
                <w:szCs w:val="20"/>
              </w:rPr>
              <w:t xml:space="preserve"> </w:t>
            </w:r>
          </w:p>
          <w:p w:rsidR="007A369A" w:rsidRDefault="003D4A69" w:rsidP="003A7B72">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PERC</w:t>
            </w:r>
            <w:r w:rsidR="00764EE5" w:rsidRPr="007A369A">
              <w:rPr>
                <w:rFonts w:ascii="Verdana" w:hAnsi="Verdana" w:cs="Arial"/>
                <w:sz w:val="20"/>
                <w:szCs w:val="20"/>
              </w:rPr>
              <w:t xml:space="preserve"> adjudicates employment and labor disputes between public employees (and job applicants) and government units including the state, counties, school boards, municipalities, and special taxing districts.  </w:t>
            </w:r>
          </w:p>
          <w:p w:rsidR="003D4A69" w:rsidRPr="003D4A69" w:rsidRDefault="003D4A69"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3D4A69">
              <w:rPr>
                <w:rFonts w:ascii="Verdana" w:hAnsi="Verdana" w:cs="Arial"/>
                <w:b/>
                <w:sz w:val="20"/>
                <w:szCs w:val="20"/>
              </w:rPr>
              <w:t>Employment cases</w:t>
            </w:r>
            <w:r w:rsidRPr="003D4A69">
              <w:rPr>
                <w:rFonts w:ascii="Verdana" w:hAnsi="Verdana" w:cs="Arial"/>
                <w:sz w:val="20"/>
                <w:szCs w:val="20"/>
              </w:rPr>
              <w:t xml:space="preserve"> - The commission monitors Florida’s career service system by providing a forum for those state employees with civil service privileges to appeal disciplinary actions such as discharge, demotion, and suspension.  The commission also has jurisdiction over appeals related to veteran’s preference, drug-free workplace, age discrimination, and whistle blower cases. </w:t>
            </w:r>
          </w:p>
          <w:p w:rsidR="003D4A69" w:rsidRPr="003D4A69" w:rsidRDefault="003D4A69" w:rsidP="003A7B72">
            <w:pPr>
              <w:pStyle w:val="ListParagraph"/>
              <w:numPr>
                <w:ilvl w:val="0"/>
                <w:numId w:val="35"/>
              </w:numPr>
              <w:autoSpaceDE w:val="0"/>
              <w:autoSpaceDN w:val="0"/>
              <w:adjustRightInd w:val="0"/>
              <w:spacing w:beforeLines="60" w:afterLines="60"/>
              <w:rPr>
                <w:rFonts w:ascii="Verdana" w:hAnsi="Verdana" w:cs="Arial"/>
                <w:sz w:val="20"/>
                <w:szCs w:val="20"/>
              </w:rPr>
            </w:pPr>
            <w:r w:rsidRPr="003D4A69">
              <w:rPr>
                <w:rFonts w:ascii="Verdana" w:hAnsi="Verdana" w:cs="Arial"/>
                <w:b/>
                <w:sz w:val="20"/>
                <w:szCs w:val="20"/>
              </w:rPr>
              <w:t>Labor cases</w:t>
            </w:r>
            <w:r w:rsidRPr="003D4A69">
              <w:rPr>
                <w:rFonts w:ascii="Verdana" w:hAnsi="Verdana" w:cs="Arial"/>
                <w:sz w:val="20"/>
                <w:szCs w:val="20"/>
              </w:rPr>
              <w:t xml:space="preserve"> - The commission holds hearings and resolves disputes regarding alleged unfair labor practices and the composition of bargaining units.  This includes monitoring disputes that have the potential to result in strikes, and working to prevent strikes and future labor disputes.  It also registers labor unions, ensures that that public sector unions and officers provide required financial disclosure, and conducts elections for state and local government employees voting to establish or maintain union representation.  The commission’s impasse and </w:t>
            </w:r>
            <w:r w:rsidRPr="003D4A69">
              <w:rPr>
                <w:rFonts w:ascii="Verdana" w:hAnsi="Verdana" w:cs="Arial"/>
                <w:sz w:val="20"/>
                <w:szCs w:val="20"/>
              </w:rPr>
              <w:lastRenderedPageBreak/>
              <w:t>mediation coordinator oversees federally provided mediators and privately employed arbitrators who resolve impasses in labor negotiations. </w:t>
            </w:r>
          </w:p>
          <w:p w:rsidR="007A369A" w:rsidRPr="007A369A" w:rsidRDefault="007A369A" w:rsidP="003A7B72">
            <w:pPr>
              <w:autoSpaceDE w:val="0"/>
              <w:autoSpaceDN w:val="0"/>
              <w:adjustRightInd w:val="0"/>
              <w:spacing w:beforeLines="60" w:afterLines="60"/>
              <w:ind w:left="360"/>
              <w:rPr>
                <w:rFonts w:ascii="Verdana" w:hAnsi="Verdana" w:cs="Arial"/>
                <w:sz w:val="20"/>
                <w:szCs w:val="20"/>
              </w:rPr>
            </w:pPr>
            <w:r w:rsidRPr="007A369A">
              <w:rPr>
                <w:rFonts w:ascii="Verdana" w:hAnsi="Verdana" w:cs="Arial"/>
                <w:sz w:val="20"/>
                <w:szCs w:val="20"/>
              </w:rPr>
              <w:t>In Fiscal Year 2008-09, the commission had 1,173 filings.</w:t>
            </w:r>
            <w:r>
              <w:rPr>
                <w:rFonts w:ascii="Verdana" w:hAnsi="Verdana" w:cs="Arial"/>
                <w:sz w:val="20"/>
                <w:szCs w:val="20"/>
              </w:rPr>
              <w:t xml:space="preserve">  </w:t>
            </w:r>
            <w:r w:rsidR="003D4A69">
              <w:rPr>
                <w:rFonts w:ascii="Verdana" w:hAnsi="Verdana" w:cs="Arial"/>
                <w:sz w:val="20"/>
                <w:szCs w:val="20"/>
              </w:rPr>
              <w:t>Ninety-nine percent</w:t>
            </w:r>
            <w:r w:rsidRPr="007A369A">
              <w:rPr>
                <w:rFonts w:ascii="Verdana" w:hAnsi="Verdana" w:cs="Arial"/>
                <w:sz w:val="20"/>
                <w:szCs w:val="20"/>
              </w:rPr>
              <w:t xml:space="preserve"> of the commission’s employment and labor dispositions were closed within the statutory timeframe; 96% of its decisions were affirmed on appeal, dismissed or withdrawn.</w:t>
            </w:r>
          </w:p>
          <w:p w:rsidR="007F2C26" w:rsidRPr="007A369A" w:rsidRDefault="007A369A" w:rsidP="003A7B72">
            <w:pPr>
              <w:autoSpaceDE w:val="0"/>
              <w:autoSpaceDN w:val="0"/>
              <w:adjustRightInd w:val="0"/>
              <w:spacing w:beforeLines="60" w:afterLines="60"/>
              <w:ind w:left="360"/>
              <w:rPr>
                <w:rFonts w:ascii="Verdana" w:hAnsi="Verdana" w:cs="Arial"/>
                <w:sz w:val="20"/>
                <w:szCs w:val="20"/>
                <w:u w:val="single"/>
              </w:rPr>
            </w:pPr>
            <w:r w:rsidRPr="007A369A">
              <w:rPr>
                <w:rFonts w:ascii="Verdana" w:hAnsi="Verdana" w:cs="Arial"/>
                <w:sz w:val="20"/>
                <w:szCs w:val="20"/>
              </w:rPr>
              <w:t xml:space="preserve">For Fiscal Year 2009-10, the Legislature appropriated the commission $3.2 million and 29 </w:t>
            </w:r>
            <w:r w:rsidR="003A7B72">
              <w:rPr>
                <w:rFonts w:ascii="Verdana" w:hAnsi="Verdana" w:cs="Arial"/>
                <w:sz w:val="20"/>
                <w:szCs w:val="20"/>
              </w:rPr>
              <w:t>FTE</w:t>
            </w:r>
            <w:r w:rsidRPr="007A369A">
              <w:rPr>
                <w:rFonts w:ascii="Verdana" w:hAnsi="Verdana" w:cs="Arial"/>
                <w:sz w:val="20"/>
                <w:szCs w:val="20"/>
              </w:rPr>
              <w:t>.  More than half of the appropriation ($1.8 million) is derived from the Public Employees Relations Commission Trust Fund, which is funded by a distribution from the Local Government Half-cent Sales Tax.</w:t>
            </w:r>
          </w:p>
        </w:tc>
      </w:tr>
      <w:tr w:rsidR="0058321D" w:rsidRPr="009A10F2" w:rsidTr="00BF5DD0">
        <w:tc>
          <w:tcPr>
            <w:tcW w:w="314" w:type="pct"/>
          </w:tcPr>
          <w:p w:rsidR="0058321D" w:rsidRPr="009A10F2" w:rsidRDefault="0058321D" w:rsidP="003A7B72">
            <w:pPr>
              <w:spacing w:beforeLines="60" w:afterLines="60"/>
              <w:jc w:val="center"/>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58321D" w:rsidRPr="009A10F2" w:rsidTr="00BF5DD0">
        <w:tc>
          <w:tcPr>
            <w:tcW w:w="314" w:type="pct"/>
          </w:tcPr>
          <w:p w:rsidR="0058321D" w:rsidRPr="009A10F2" w:rsidRDefault="0058321D" w:rsidP="003A7B72">
            <w:pPr>
              <w:spacing w:beforeLines="60" w:afterLines="60"/>
              <w:rPr>
                <w:rFonts w:ascii="Verdana" w:hAnsi="Verdana" w:cs="Arial"/>
                <w:sz w:val="16"/>
                <w:szCs w:val="16"/>
              </w:rPr>
            </w:pPr>
          </w:p>
        </w:tc>
        <w:tc>
          <w:tcPr>
            <w:tcW w:w="380" w:type="pct"/>
          </w:tcPr>
          <w:p w:rsidR="0058321D" w:rsidRPr="009A10F2" w:rsidRDefault="0058321D" w:rsidP="003A7B72">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58321D" w:rsidRPr="009A10F2" w:rsidRDefault="0058321D" w:rsidP="003A7B72">
            <w:pPr>
              <w:autoSpaceDE w:val="0"/>
              <w:autoSpaceDN w:val="0"/>
              <w:adjustRightInd w:val="0"/>
              <w:spacing w:beforeLines="60" w:afterLines="60"/>
              <w:ind w:left="360"/>
              <w:rPr>
                <w:rFonts w:ascii="Verdana" w:hAnsi="Verdana" w:cs="Arial"/>
                <w:sz w:val="20"/>
                <w:szCs w:val="20"/>
              </w:rPr>
            </w:pPr>
          </w:p>
        </w:tc>
      </w:tr>
      <w:tr w:rsidR="003E4710" w:rsidRPr="009A10F2" w:rsidTr="00BF5DD0">
        <w:tc>
          <w:tcPr>
            <w:tcW w:w="5000" w:type="pct"/>
            <w:gridSpan w:val="3"/>
            <w:shd w:val="clear" w:color="auto" w:fill="CCCCCC"/>
          </w:tcPr>
          <w:p w:rsidR="003E4710" w:rsidRPr="00472703" w:rsidRDefault="007A369A" w:rsidP="003A7B72">
            <w:pPr>
              <w:autoSpaceDE w:val="0"/>
              <w:autoSpaceDN w:val="0"/>
              <w:adjustRightInd w:val="0"/>
              <w:spacing w:beforeLines="60" w:afterLines="60"/>
              <w:ind w:left="360"/>
              <w:rPr>
                <w:rFonts w:ascii="Verdana" w:hAnsi="Verdana" w:cs="Arial"/>
                <w:b/>
                <w:sz w:val="20"/>
                <w:szCs w:val="20"/>
              </w:rPr>
            </w:pPr>
            <w:r w:rsidRPr="006E4FAE">
              <w:rPr>
                <w:rFonts w:ascii="Verdana" w:hAnsi="Verdana" w:cs="Arial"/>
                <w:b/>
                <w:sz w:val="20"/>
                <w:szCs w:val="20"/>
              </w:rPr>
              <w:lastRenderedPageBreak/>
              <w:t>Governor’s Commission on Disabilities</w:t>
            </w:r>
          </w:p>
        </w:tc>
      </w:tr>
      <w:tr w:rsidR="00123BBC" w:rsidRPr="009A10F2" w:rsidTr="00BF5DD0">
        <w:tc>
          <w:tcPr>
            <w:tcW w:w="314" w:type="pct"/>
          </w:tcPr>
          <w:p w:rsidR="00123BBC" w:rsidRPr="009A10F2" w:rsidRDefault="00123BBC" w:rsidP="003A7B72">
            <w:pPr>
              <w:spacing w:beforeLines="60" w:afterLines="60"/>
              <w:jc w:val="center"/>
              <w:rPr>
                <w:rFonts w:ascii="Verdana" w:hAnsi="Verdana" w:cs="Arial"/>
                <w:sz w:val="16"/>
                <w:szCs w:val="16"/>
              </w:rPr>
            </w:pPr>
          </w:p>
        </w:tc>
        <w:tc>
          <w:tcPr>
            <w:tcW w:w="380" w:type="pct"/>
          </w:tcPr>
          <w:p w:rsidR="00123BBC" w:rsidRPr="009A10F2" w:rsidRDefault="00123BBC" w:rsidP="003A7B72">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075EB0" w:rsidRDefault="00075EB0" w:rsidP="003A7B72">
            <w:pPr>
              <w:autoSpaceDE w:val="0"/>
              <w:autoSpaceDN w:val="0"/>
              <w:adjustRightInd w:val="0"/>
              <w:spacing w:beforeLines="60" w:afterLines="60"/>
              <w:ind w:left="360"/>
              <w:rPr>
                <w:rFonts w:ascii="Verdana" w:hAnsi="Verdana" w:cs="Arial"/>
                <w:sz w:val="20"/>
                <w:szCs w:val="20"/>
              </w:rPr>
            </w:pPr>
            <w:r w:rsidRPr="00075EB0">
              <w:rPr>
                <w:rFonts w:ascii="Verdana" w:hAnsi="Verdana" w:cs="Arial"/>
                <w:sz w:val="20"/>
                <w:szCs w:val="20"/>
              </w:rPr>
              <w:t xml:space="preserve">The Governor’s Commission on Disabilities </w:t>
            </w:r>
            <w:r>
              <w:rPr>
                <w:rFonts w:ascii="Verdana" w:hAnsi="Verdana" w:cs="Arial"/>
                <w:sz w:val="20"/>
                <w:szCs w:val="20"/>
              </w:rPr>
              <w:t xml:space="preserve">is </w:t>
            </w:r>
            <w:r w:rsidRPr="00075EB0">
              <w:rPr>
                <w:rFonts w:ascii="Verdana" w:hAnsi="Verdana" w:cs="Arial"/>
                <w:sz w:val="20"/>
                <w:szCs w:val="20"/>
              </w:rPr>
              <w:t>established pursuant to Executive Order, most recently by Executive Order Number 08-193, which gives it the mission to advance public policy for Floridians with disabilities and to provide a forum for advocates representing Floridians with disabilities to develop and voice unified concerns and recommendations.</w:t>
            </w:r>
            <w:r>
              <w:rPr>
                <w:rFonts w:ascii="Verdana" w:hAnsi="Verdana" w:cs="Arial"/>
                <w:sz w:val="20"/>
                <w:szCs w:val="20"/>
              </w:rPr>
              <w:t xml:space="preserve">  </w:t>
            </w:r>
            <w:r w:rsidRPr="00075EB0">
              <w:rPr>
                <w:rFonts w:ascii="Verdana" w:hAnsi="Verdana" w:cs="Arial"/>
                <w:sz w:val="20"/>
                <w:szCs w:val="20"/>
              </w:rPr>
              <w:t xml:space="preserve">The Commission must yearly provide the Governor with a written report that addresses: recommendations for administrative and legislative change in the areas of employment, transportation, education, and independent living; recommendations for administrative and legislative change in the areas of developmental disabilities, healthcare, civil rights, and any other area the Commission, in consultation with the Governor, determines to be of imperative interest to the disabilities community; accomplishments in obtaining legislative and administrative change; and progress related to collaborative efforts with other agencies. </w:t>
            </w:r>
          </w:p>
          <w:p w:rsidR="007F2C26" w:rsidRPr="00075EB0" w:rsidRDefault="00075EB0" w:rsidP="003A7B72">
            <w:pPr>
              <w:autoSpaceDE w:val="0"/>
              <w:autoSpaceDN w:val="0"/>
              <w:adjustRightInd w:val="0"/>
              <w:spacing w:beforeLines="60" w:afterLines="60"/>
              <w:ind w:left="360"/>
              <w:rPr>
                <w:rFonts w:ascii="Verdana" w:hAnsi="Verdana" w:cs="Arial"/>
                <w:sz w:val="20"/>
                <w:szCs w:val="20"/>
              </w:rPr>
            </w:pPr>
            <w:r w:rsidRPr="00075EB0">
              <w:rPr>
                <w:rFonts w:ascii="Verdana" w:hAnsi="Verdana" w:cs="Arial"/>
                <w:sz w:val="20"/>
                <w:szCs w:val="20"/>
              </w:rPr>
              <w:t>The Commission consists of 21 members appointed by the Governor.</w:t>
            </w:r>
            <w:r w:rsidR="00112208">
              <w:rPr>
                <w:rFonts w:ascii="Verdana" w:hAnsi="Verdana" w:cs="Arial"/>
                <w:sz w:val="20"/>
                <w:szCs w:val="20"/>
              </w:rPr>
              <w:t xml:space="preserve">  </w:t>
            </w:r>
            <w:r w:rsidR="00112208" w:rsidRPr="00112208">
              <w:rPr>
                <w:rFonts w:ascii="Verdana" w:hAnsi="Verdana" w:cs="Arial"/>
                <w:sz w:val="20"/>
                <w:szCs w:val="20"/>
              </w:rPr>
              <w:t xml:space="preserve">The Legislature appropriated </w:t>
            </w:r>
            <w:r w:rsidR="003A7B72">
              <w:rPr>
                <w:rFonts w:ascii="Verdana" w:hAnsi="Verdana" w:cs="Arial"/>
                <w:sz w:val="20"/>
                <w:szCs w:val="20"/>
              </w:rPr>
              <w:t>771,241 and 7 FTE</w:t>
            </w:r>
            <w:r w:rsidR="00112208" w:rsidRPr="00112208">
              <w:rPr>
                <w:rFonts w:ascii="Verdana" w:hAnsi="Verdana" w:cs="Arial"/>
                <w:sz w:val="20"/>
                <w:szCs w:val="20"/>
              </w:rPr>
              <w:t xml:space="preserve"> to the commission for Fiscal Year </w:t>
            </w:r>
            <w:r w:rsidR="003A7B72">
              <w:rPr>
                <w:rFonts w:ascii="Verdana" w:hAnsi="Verdana" w:cs="Arial"/>
                <w:sz w:val="20"/>
                <w:szCs w:val="20"/>
              </w:rPr>
              <w:t>2009-10</w:t>
            </w:r>
            <w:r w:rsidR="00112208" w:rsidRPr="00112208">
              <w:rPr>
                <w:rFonts w:ascii="Verdana" w:hAnsi="Verdana" w:cs="Arial"/>
                <w:sz w:val="20"/>
                <w:szCs w:val="20"/>
              </w:rPr>
              <w:t>.</w:t>
            </w:r>
          </w:p>
        </w:tc>
      </w:tr>
      <w:tr w:rsidR="00123BBC" w:rsidRPr="009A10F2" w:rsidTr="00BF5DD0">
        <w:trPr>
          <w:cantSplit/>
        </w:trPr>
        <w:tc>
          <w:tcPr>
            <w:tcW w:w="314" w:type="pct"/>
          </w:tcPr>
          <w:p w:rsidR="00123BBC" w:rsidRPr="009A10F2" w:rsidRDefault="00123BBC" w:rsidP="003A7B72">
            <w:pPr>
              <w:spacing w:beforeLines="60" w:afterLines="60"/>
              <w:rPr>
                <w:rFonts w:ascii="Verdana" w:hAnsi="Verdana" w:cs="Arial"/>
                <w:sz w:val="16"/>
                <w:szCs w:val="16"/>
              </w:rPr>
            </w:pPr>
          </w:p>
        </w:tc>
        <w:tc>
          <w:tcPr>
            <w:tcW w:w="380" w:type="pct"/>
          </w:tcPr>
          <w:p w:rsidR="00123BBC" w:rsidRPr="009A10F2" w:rsidRDefault="00123BBC" w:rsidP="003A7B72">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123BBC" w:rsidRPr="009A10F2" w:rsidRDefault="00123BBC" w:rsidP="003A7B72">
            <w:pPr>
              <w:autoSpaceDE w:val="0"/>
              <w:autoSpaceDN w:val="0"/>
              <w:adjustRightInd w:val="0"/>
              <w:spacing w:beforeLines="60" w:afterLines="60"/>
              <w:ind w:left="360"/>
              <w:rPr>
                <w:rFonts w:ascii="Verdana" w:hAnsi="Verdana" w:cs="Arial"/>
                <w:sz w:val="20"/>
                <w:szCs w:val="20"/>
              </w:rPr>
            </w:pPr>
          </w:p>
        </w:tc>
      </w:tr>
      <w:tr w:rsidR="00123BBC" w:rsidRPr="009A10F2" w:rsidTr="00BF5DD0">
        <w:trPr>
          <w:cantSplit/>
        </w:trPr>
        <w:tc>
          <w:tcPr>
            <w:tcW w:w="314" w:type="pct"/>
          </w:tcPr>
          <w:p w:rsidR="00123BBC" w:rsidRPr="009A10F2" w:rsidRDefault="00123BBC" w:rsidP="003A7B72">
            <w:pPr>
              <w:spacing w:beforeLines="60" w:afterLines="60"/>
              <w:rPr>
                <w:rFonts w:ascii="Verdana" w:hAnsi="Verdana" w:cs="Arial"/>
                <w:sz w:val="16"/>
                <w:szCs w:val="16"/>
              </w:rPr>
            </w:pPr>
          </w:p>
        </w:tc>
        <w:tc>
          <w:tcPr>
            <w:tcW w:w="380" w:type="pct"/>
          </w:tcPr>
          <w:p w:rsidR="00123BBC" w:rsidRPr="009A10F2" w:rsidRDefault="00123BBC" w:rsidP="003A7B72">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123BBC" w:rsidRPr="009A10F2" w:rsidRDefault="00123BBC" w:rsidP="003A7B72">
            <w:pPr>
              <w:autoSpaceDE w:val="0"/>
              <w:autoSpaceDN w:val="0"/>
              <w:adjustRightInd w:val="0"/>
              <w:spacing w:beforeLines="60" w:afterLines="60"/>
              <w:ind w:left="360"/>
              <w:rPr>
                <w:rFonts w:ascii="Verdana" w:hAnsi="Verdana" w:cs="Arial"/>
                <w:sz w:val="20"/>
                <w:szCs w:val="20"/>
              </w:rPr>
            </w:pPr>
          </w:p>
        </w:tc>
      </w:tr>
    </w:tbl>
    <w:p w:rsidR="00E30E0E" w:rsidRDefault="00E30E0E"/>
    <w:p w:rsidR="0055123C" w:rsidRPr="00FA7BE8" w:rsidRDefault="0058321D" w:rsidP="005741B9">
      <w:r>
        <w:t xml:space="preserve"> </w:t>
      </w:r>
    </w:p>
    <w:sectPr w:rsidR="0055123C" w:rsidRPr="00FA7BE8" w:rsidSect="00E30E0E">
      <w:foot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B0" w:rsidRDefault="00075EB0" w:rsidP="002B6B66">
      <w:r>
        <w:separator/>
      </w:r>
    </w:p>
  </w:endnote>
  <w:endnote w:type="continuationSeparator" w:id="0">
    <w:p w:rsidR="00075EB0" w:rsidRDefault="00075EB0" w:rsidP="002B6B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empelGaramond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ZapfCalligr BT">
    <w:altName w:val="Palatino Linotype"/>
    <w:charset w:val="00"/>
    <w:family w:val="roman"/>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65524"/>
      <w:docPartObj>
        <w:docPartGallery w:val="Page Numbers (Bottom of Page)"/>
        <w:docPartUnique/>
      </w:docPartObj>
    </w:sdtPr>
    <w:sdtContent>
      <w:p w:rsidR="00075EB0" w:rsidRDefault="00A23D4C">
        <w:pPr>
          <w:pStyle w:val="Footer"/>
          <w:jc w:val="center"/>
        </w:pPr>
        <w:fldSimple w:instr=" PAGE   \* MERGEFORMAT ">
          <w:r w:rsidR="003A7B72">
            <w:rPr>
              <w:noProof/>
            </w:rPr>
            <w:t>1</w:t>
          </w:r>
        </w:fldSimple>
      </w:p>
    </w:sdtContent>
  </w:sdt>
  <w:p w:rsidR="00075EB0" w:rsidRDefault="00075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B0" w:rsidRDefault="00075EB0" w:rsidP="002B6B66">
      <w:r>
        <w:separator/>
      </w:r>
    </w:p>
  </w:footnote>
  <w:footnote w:type="continuationSeparator" w:id="0">
    <w:p w:rsidR="00075EB0" w:rsidRDefault="00075EB0" w:rsidP="002B6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5671E4"/>
    <w:multiLevelType w:val="hybridMultilevel"/>
    <w:tmpl w:val="05BA127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D36F86"/>
    <w:multiLevelType w:val="multilevel"/>
    <w:tmpl w:val="98AA3B8E"/>
    <w:lvl w:ilvl="0">
      <w:start w:val="1"/>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9F6487"/>
    <w:multiLevelType w:val="hybridMultilevel"/>
    <w:tmpl w:val="7E9A789A"/>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D610DE"/>
    <w:multiLevelType w:val="hybridMultilevel"/>
    <w:tmpl w:val="85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C1A5B"/>
    <w:multiLevelType w:val="multilevel"/>
    <w:tmpl w:val="915CF7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51A99"/>
    <w:multiLevelType w:val="hybridMultilevel"/>
    <w:tmpl w:val="20DCD87E"/>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37BAF"/>
    <w:multiLevelType w:val="hybridMultilevel"/>
    <w:tmpl w:val="94003F36"/>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F230B5"/>
    <w:multiLevelType w:val="hybridMultilevel"/>
    <w:tmpl w:val="8A5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76FFE"/>
    <w:multiLevelType w:val="hybridMultilevel"/>
    <w:tmpl w:val="463E08FE"/>
    <w:lvl w:ilvl="0" w:tplc="19900BE2">
      <w:start w:val="1"/>
      <w:numFmt w:val="bullet"/>
      <w:lvlText w:val="?"/>
      <w:lvlJc w:val="left"/>
      <w:pPr>
        <w:tabs>
          <w:tab w:val="num" w:pos="720"/>
        </w:tabs>
        <w:ind w:left="720" w:hanging="720"/>
      </w:pPr>
      <w:rPr>
        <w:rFonts w:ascii="StempelGaramond Roman" w:hAnsi="StempelGaramond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687BA8"/>
    <w:multiLevelType w:val="multilevel"/>
    <w:tmpl w:val="64184D7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76311E4"/>
    <w:multiLevelType w:val="hybridMultilevel"/>
    <w:tmpl w:val="666CB35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3E0546"/>
    <w:multiLevelType w:val="hybridMultilevel"/>
    <w:tmpl w:val="39689CE8"/>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E70D6"/>
    <w:multiLevelType w:val="hybridMultilevel"/>
    <w:tmpl w:val="1E2AB1F8"/>
    <w:lvl w:ilvl="0" w:tplc="B44A17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865594"/>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43C10319"/>
    <w:multiLevelType w:val="hybridMultilevel"/>
    <w:tmpl w:val="28E65F1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1E7F71"/>
    <w:multiLevelType w:val="hybridMultilevel"/>
    <w:tmpl w:val="BB426E40"/>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A2F3A0A"/>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4B52594C"/>
    <w:multiLevelType w:val="hybridMultilevel"/>
    <w:tmpl w:val="763A2EB8"/>
    <w:lvl w:ilvl="0" w:tplc="38323E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453311"/>
    <w:multiLevelType w:val="hybridMultilevel"/>
    <w:tmpl w:val="7DF46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7155B3"/>
    <w:multiLevelType w:val="multilevel"/>
    <w:tmpl w:val="94003F36"/>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DC40CC3"/>
    <w:multiLevelType w:val="hybridMultilevel"/>
    <w:tmpl w:val="8A78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673E8"/>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505F0AED"/>
    <w:multiLevelType w:val="hybridMultilevel"/>
    <w:tmpl w:val="C6649510"/>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246363"/>
    <w:multiLevelType w:val="hybridMultilevel"/>
    <w:tmpl w:val="9424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10463"/>
    <w:multiLevelType w:val="hybridMultilevel"/>
    <w:tmpl w:val="F85EFB38"/>
    <w:lvl w:ilvl="0" w:tplc="E794CC7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C3E7C44"/>
    <w:multiLevelType w:val="multilevel"/>
    <w:tmpl w:val="2258E706"/>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605E4A33"/>
    <w:multiLevelType w:val="hybridMultilevel"/>
    <w:tmpl w:val="3D9ABA9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60D34A4A"/>
    <w:multiLevelType w:val="hybridMultilevel"/>
    <w:tmpl w:val="689EE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8349BB"/>
    <w:multiLevelType w:val="hybridMultilevel"/>
    <w:tmpl w:val="98AA3B8E"/>
    <w:lvl w:ilvl="0" w:tplc="18C0D6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76364B"/>
    <w:multiLevelType w:val="hybridMultilevel"/>
    <w:tmpl w:val="2258E706"/>
    <w:lvl w:ilvl="0" w:tplc="758ACEE6">
      <w:start w:val="1"/>
      <w:numFmt w:val="bullet"/>
      <w:lvlText w:val=""/>
      <w:lvlJc w:val="left"/>
      <w:pPr>
        <w:tabs>
          <w:tab w:val="num" w:pos="720"/>
        </w:tabs>
        <w:ind w:left="720" w:hanging="720"/>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5E55BBF"/>
    <w:multiLevelType w:val="hybridMultilevel"/>
    <w:tmpl w:val="5BCE3FE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60365C"/>
    <w:multiLevelType w:val="multilevel"/>
    <w:tmpl w:val="1E2AB1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2F2F24"/>
    <w:multiLevelType w:val="hybridMultilevel"/>
    <w:tmpl w:val="647C77F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1F3833"/>
    <w:multiLevelType w:val="hybridMultilevel"/>
    <w:tmpl w:val="64184D7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D32858"/>
    <w:multiLevelType w:val="hybridMultilevel"/>
    <w:tmpl w:val="C1264D32"/>
    <w:lvl w:ilvl="0" w:tplc="22FEF2B4">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nsid w:val="73FC5042"/>
    <w:multiLevelType w:val="hybridMultilevel"/>
    <w:tmpl w:val="B8ECBB66"/>
    <w:lvl w:ilvl="0" w:tplc="EF6C8A9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D062E3"/>
    <w:multiLevelType w:val="multilevel"/>
    <w:tmpl w:val="33D4A558"/>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9"/>
  </w:num>
  <w:num w:numId="4">
    <w:abstractNumId w:val="34"/>
  </w:num>
  <w:num w:numId="5">
    <w:abstractNumId w:val="25"/>
  </w:num>
  <w:num w:numId="6">
    <w:abstractNumId w:val="0"/>
  </w:num>
  <w:num w:numId="7">
    <w:abstractNumId w:val="5"/>
  </w:num>
  <w:num w:numId="8">
    <w:abstractNumId w:val="28"/>
  </w:num>
  <w:num w:numId="9">
    <w:abstractNumId w:val="1"/>
  </w:num>
  <w:num w:numId="10">
    <w:abstractNumId w:val="12"/>
  </w:num>
  <w:num w:numId="11">
    <w:abstractNumId w:val="21"/>
  </w:num>
  <w:num w:numId="12">
    <w:abstractNumId w:val="24"/>
  </w:num>
  <w:num w:numId="13">
    <w:abstractNumId w:val="31"/>
  </w:num>
  <w:num w:numId="14">
    <w:abstractNumId w:val="10"/>
  </w:num>
  <w:num w:numId="15">
    <w:abstractNumId w:val="36"/>
  </w:num>
  <w:num w:numId="16">
    <w:abstractNumId w:val="33"/>
  </w:num>
  <w:num w:numId="17">
    <w:abstractNumId w:val="13"/>
  </w:num>
  <w:num w:numId="18">
    <w:abstractNumId w:val="26"/>
  </w:num>
  <w:num w:numId="19">
    <w:abstractNumId w:val="16"/>
  </w:num>
  <w:num w:numId="20">
    <w:abstractNumId w:val="15"/>
  </w:num>
  <w:num w:numId="21">
    <w:abstractNumId w:val="9"/>
  </w:num>
  <w:num w:numId="22">
    <w:abstractNumId w:val="6"/>
  </w:num>
  <w:num w:numId="23">
    <w:abstractNumId w:val="19"/>
  </w:num>
  <w:num w:numId="24">
    <w:abstractNumId w:val="32"/>
  </w:num>
  <w:num w:numId="25">
    <w:abstractNumId w:val="11"/>
  </w:num>
  <w:num w:numId="26">
    <w:abstractNumId w:val="2"/>
  </w:num>
  <w:num w:numId="27">
    <w:abstractNumId w:val="22"/>
  </w:num>
  <w:num w:numId="28">
    <w:abstractNumId w:val="35"/>
  </w:num>
  <w:num w:numId="29">
    <w:abstractNumId w:val="30"/>
  </w:num>
  <w:num w:numId="30">
    <w:abstractNumId w:val="14"/>
  </w:num>
  <w:num w:numId="31">
    <w:abstractNumId w:val="17"/>
  </w:num>
  <w:num w:numId="32">
    <w:abstractNumId w:val="18"/>
  </w:num>
  <w:num w:numId="33">
    <w:abstractNumId w:val="7"/>
  </w:num>
  <w:num w:numId="34">
    <w:abstractNumId w:val="3"/>
  </w:num>
  <w:num w:numId="35">
    <w:abstractNumId w:val="23"/>
  </w:num>
  <w:num w:numId="36">
    <w:abstractNumId w:val="27"/>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457B3"/>
    <w:rsid w:val="00004415"/>
    <w:rsid w:val="00010A4B"/>
    <w:rsid w:val="00042849"/>
    <w:rsid w:val="000530F9"/>
    <w:rsid w:val="00075EB0"/>
    <w:rsid w:val="00080637"/>
    <w:rsid w:val="0008472F"/>
    <w:rsid w:val="000B362F"/>
    <w:rsid w:val="000E62D1"/>
    <w:rsid w:val="001028C3"/>
    <w:rsid w:val="00112208"/>
    <w:rsid w:val="00123BBC"/>
    <w:rsid w:val="00124DC8"/>
    <w:rsid w:val="00147497"/>
    <w:rsid w:val="00153D90"/>
    <w:rsid w:val="001553D9"/>
    <w:rsid w:val="00167528"/>
    <w:rsid w:val="00186048"/>
    <w:rsid w:val="001B1D8E"/>
    <w:rsid w:val="001B1EF0"/>
    <w:rsid w:val="001C23EB"/>
    <w:rsid w:val="001C5F97"/>
    <w:rsid w:val="001E2BEA"/>
    <w:rsid w:val="001F203E"/>
    <w:rsid w:val="00220CE6"/>
    <w:rsid w:val="00222BA8"/>
    <w:rsid w:val="002424C8"/>
    <w:rsid w:val="00272D1A"/>
    <w:rsid w:val="00276DFA"/>
    <w:rsid w:val="00285E04"/>
    <w:rsid w:val="002A1839"/>
    <w:rsid w:val="002A3305"/>
    <w:rsid w:val="002A52A8"/>
    <w:rsid w:val="002A7E47"/>
    <w:rsid w:val="002B6B66"/>
    <w:rsid w:val="002C1308"/>
    <w:rsid w:val="002C7B30"/>
    <w:rsid w:val="002E3782"/>
    <w:rsid w:val="002E6530"/>
    <w:rsid w:val="002F5C65"/>
    <w:rsid w:val="00307368"/>
    <w:rsid w:val="00327E9B"/>
    <w:rsid w:val="00377FCA"/>
    <w:rsid w:val="00386ED9"/>
    <w:rsid w:val="00393A44"/>
    <w:rsid w:val="003A31E0"/>
    <w:rsid w:val="003A7B72"/>
    <w:rsid w:val="003C0272"/>
    <w:rsid w:val="003C3649"/>
    <w:rsid w:val="003D4A69"/>
    <w:rsid w:val="003E34ED"/>
    <w:rsid w:val="003E4710"/>
    <w:rsid w:val="003F05D9"/>
    <w:rsid w:val="003F5BFF"/>
    <w:rsid w:val="004511C4"/>
    <w:rsid w:val="00455F67"/>
    <w:rsid w:val="00461C85"/>
    <w:rsid w:val="00462EF0"/>
    <w:rsid w:val="0046330A"/>
    <w:rsid w:val="00472703"/>
    <w:rsid w:val="004B13C5"/>
    <w:rsid w:val="004C23B7"/>
    <w:rsid w:val="004D2AF9"/>
    <w:rsid w:val="004D3BEB"/>
    <w:rsid w:val="004D4C38"/>
    <w:rsid w:val="004F191C"/>
    <w:rsid w:val="00522A72"/>
    <w:rsid w:val="00531B48"/>
    <w:rsid w:val="0055123C"/>
    <w:rsid w:val="00573F75"/>
    <w:rsid w:val="005741B9"/>
    <w:rsid w:val="00575FB1"/>
    <w:rsid w:val="0058321D"/>
    <w:rsid w:val="0059092A"/>
    <w:rsid w:val="00591E61"/>
    <w:rsid w:val="005A1B59"/>
    <w:rsid w:val="005A461A"/>
    <w:rsid w:val="005D1EEA"/>
    <w:rsid w:val="005D396B"/>
    <w:rsid w:val="005E5A2C"/>
    <w:rsid w:val="005F6102"/>
    <w:rsid w:val="006131B8"/>
    <w:rsid w:val="006179C0"/>
    <w:rsid w:val="00627095"/>
    <w:rsid w:val="0066005C"/>
    <w:rsid w:val="00660E20"/>
    <w:rsid w:val="00684463"/>
    <w:rsid w:val="006911E0"/>
    <w:rsid w:val="006B1963"/>
    <w:rsid w:val="006C0BD2"/>
    <w:rsid w:val="006C60E2"/>
    <w:rsid w:val="006D1BAE"/>
    <w:rsid w:val="006E4FAE"/>
    <w:rsid w:val="00725C84"/>
    <w:rsid w:val="007354EA"/>
    <w:rsid w:val="00736D92"/>
    <w:rsid w:val="007611DC"/>
    <w:rsid w:val="00764EE5"/>
    <w:rsid w:val="00794EFB"/>
    <w:rsid w:val="00795315"/>
    <w:rsid w:val="007A2AC7"/>
    <w:rsid w:val="007A369A"/>
    <w:rsid w:val="007B05A5"/>
    <w:rsid w:val="007C6906"/>
    <w:rsid w:val="007D2BC1"/>
    <w:rsid w:val="007E5B66"/>
    <w:rsid w:val="007F2C26"/>
    <w:rsid w:val="007F74DC"/>
    <w:rsid w:val="008225A3"/>
    <w:rsid w:val="0082687C"/>
    <w:rsid w:val="0083156C"/>
    <w:rsid w:val="0083188E"/>
    <w:rsid w:val="00832880"/>
    <w:rsid w:val="00833A17"/>
    <w:rsid w:val="00845B3A"/>
    <w:rsid w:val="008740F5"/>
    <w:rsid w:val="00874CAE"/>
    <w:rsid w:val="008815A3"/>
    <w:rsid w:val="00887877"/>
    <w:rsid w:val="0089275A"/>
    <w:rsid w:val="00894F10"/>
    <w:rsid w:val="008B0ED4"/>
    <w:rsid w:val="008B320D"/>
    <w:rsid w:val="008C64FE"/>
    <w:rsid w:val="008D4524"/>
    <w:rsid w:val="008F67CD"/>
    <w:rsid w:val="00904EDB"/>
    <w:rsid w:val="00920D82"/>
    <w:rsid w:val="00940AE5"/>
    <w:rsid w:val="00951B61"/>
    <w:rsid w:val="00965549"/>
    <w:rsid w:val="0096734F"/>
    <w:rsid w:val="009A10F2"/>
    <w:rsid w:val="009B44F2"/>
    <w:rsid w:val="009B5267"/>
    <w:rsid w:val="009C3E41"/>
    <w:rsid w:val="009E4D98"/>
    <w:rsid w:val="00A17806"/>
    <w:rsid w:val="00A23D4C"/>
    <w:rsid w:val="00A32913"/>
    <w:rsid w:val="00A63293"/>
    <w:rsid w:val="00A7421A"/>
    <w:rsid w:val="00A80680"/>
    <w:rsid w:val="00A9728C"/>
    <w:rsid w:val="00AC1E59"/>
    <w:rsid w:val="00B11751"/>
    <w:rsid w:val="00B136A7"/>
    <w:rsid w:val="00B17D6C"/>
    <w:rsid w:val="00B96C8F"/>
    <w:rsid w:val="00BA1BF1"/>
    <w:rsid w:val="00BA38D1"/>
    <w:rsid w:val="00BF5DD0"/>
    <w:rsid w:val="00C06A20"/>
    <w:rsid w:val="00C10067"/>
    <w:rsid w:val="00C112A2"/>
    <w:rsid w:val="00C14A45"/>
    <w:rsid w:val="00C31458"/>
    <w:rsid w:val="00C33692"/>
    <w:rsid w:val="00C34C7A"/>
    <w:rsid w:val="00C53240"/>
    <w:rsid w:val="00C73F73"/>
    <w:rsid w:val="00C818F0"/>
    <w:rsid w:val="00C83B11"/>
    <w:rsid w:val="00C86EEE"/>
    <w:rsid w:val="00C93DD1"/>
    <w:rsid w:val="00C96BE8"/>
    <w:rsid w:val="00CA77EA"/>
    <w:rsid w:val="00CB01FE"/>
    <w:rsid w:val="00CB32EC"/>
    <w:rsid w:val="00CD5D2B"/>
    <w:rsid w:val="00CE0E9F"/>
    <w:rsid w:val="00CE5C26"/>
    <w:rsid w:val="00D07A88"/>
    <w:rsid w:val="00D11AB3"/>
    <w:rsid w:val="00D12FB6"/>
    <w:rsid w:val="00D135BF"/>
    <w:rsid w:val="00D16830"/>
    <w:rsid w:val="00D25954"/>
    <w:rsid w:val="00D35774"/>
    <w:rsid w:val="00D54298"/>
    <w:rsid w:val="00D55046"/>
    <w:rsid w:val="00D70C20"/>
    <w:rsid w:val="00D8006D"/>
    <w:rsid w:val="00D87997"/>
    <w:rsid w:val="00DA7F34"/>
    <w:rsid w:val="00DC03C3"/>
    <w:rsid w:val="00DD69A2"/>
    <w:rsid w:val="00DE6789"/>
    <w:rsid w:val="00DF46AE"/>
    <w:rsid w:val="00E1368F"/>
    <w:rsid w:val="00E17995"/>
    <w:rsid w:val="00E30E0E"/>
    <w:rsid w:val="00E72064"/>
    <w:rsid w:val="00E743BE"/>
    <w:rsid w:val="00E767AE"/>
    <w:rsid w:val="00E92104"/>
    <w:rsid w:val="00EA2308"/>
    <w:rsid w:val="00EA7D0E"/>
    <w:rsid w:val="00ED4EF0"/>
    <w:rsid w:val="00ED5A73"/>
    <w:rsid w:val="00EF1A7C"/>
    <w:rsid w:val="00EF4E23"/>
    <w:rsid w:val="00F37A2D"/>
    <w:rsid w:val="00F457B3"/>
    <w:rsid w:val="00F575B5"/>
    <w:rsid w:val="00F60D88"/>
    <w:rsid w:val="00F62AB9"/>
    <w:rsid w:val="00F93343"/>
    <w:rsid w:val="00FA7BE8"/>
    <w:rsid w:val="00FB3751"/>
    <w:rsid w:val="00FC6066"/>
    <w:rsid w:val="00FE3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B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5B3A"/>
    <w:rPr>
      <w:rFonts w:ascii="Tahoma" w:hAnsi="Tahoma" w:cs="Tahoma"/>
      <w:sz w:val="16"/>
      <w:szCs w:val="16"/>
    </w:rPr>
  </w:style>
  <w:style w:type="character" w:styleId="Hyperlink">
    <w:name w:val="Hyperlink"/>
    <w:basedOn w:val="DefaultParagraphFont"/>
    <w:rsid w:val="001C23EB"/>
    <w:rPr>
      <w:b w:val="0"/>
      <w:bCs w:val="0"/>
      <w:color w:val="000066"/>
      <w:u w:val="single"/>
    </w:rPr>
  </w:style>
  <w:style w:type="paragraph" w:styleId="NormalWeb">
    <w:name w:val="Normal (Web)"/>
    <w:basedOn w:val="Normal"/>
    <w:uiPriority w:val="99"/>
    <w:rsid w:val="001C23EB"/>
    <w:pPr>
      <w:spacing w:before="100" w:beforeAutospacing="1" w:after="100" w:afterAutospacing="1"/>
    </w:pPr>
  </w:style>
  <w:style w:type="character" w:styleId="Strong">
    <w:name w:val="Strong"/>
    <w:basedOn w:val="DefaultParagraphFont"/>
    <w:qFormat/>
    <w:rsid w:val="001C23EB"/>
    <w:rPr>
      <w:b/>
      <w:bCs/>
    </w:rPr>
  </w:style>
  <w:style w:type="paragraph" w:styleId="Header">
    <w:name w:val="header"/>
    <w:basedOn w:val="Normal"/>
    <w:link w:val="HeaderChar"/>
    <w:rsid w:val="002B6B66"/>
    <w:pPr>
      <w:tabs>
        <w:tab w:val="center" w:pos="4680"/>
        <w:tab w:val="right" w:pos="9360"/>
      </w:tabs>
    </w:pPr>
  </w:style>
  <w:style w:type="character" w:customStyle="1" w:styleId="HeaderChar">
    <w:name w:val="Header Char"/>
    <w:basedOn w:val="DefaultParagraphFont"/>
    <w:link w:val="Header"/>
    <w:rsid w:val="002B6B66"/>
    <w:rPr>
      <w:sz w:val="24"/>
      <w:szCs w:val="24"/>
    </w:rPr>
  </w:style>
  <w:style w:type="paragraph" w:styleId="Footer">
    <w:name w:val="footer"/>
    <w:basedOn w:val="Normal"/>
    <w:link w:val="FooterChar"/>
    <w:uiPriority w:val="99"/>
    <w:rsid w:val="002B6B66"/>
    <w:pPr>
      <w:tabs>
        <w:tab w:val="center" w:pos="4680"/>
        <w:tab w:val="right" w:pos="9360"/>
      </w:tabs>
    </w:pPr>
  </w:style>
  <w:style w:type="character" w:customStyle="1" w:styleId="FooterChar">
    <w:name w:val="Footer Char"/>
    <w:basedOn w:val="DefaultParagraphFont"/>
    <w:link w:val="Footer"/>
    <w:uiPriority w:val="99"/>
    <w:rsid w:val="002B6B66"/>
    <w:rPr>
      <w:sz w:val="24"/>
      <w:szCs w:val="24"/>
    </w:rPr>
  </w:style>
  <w:style w:type="paragraph" w:styleId="ListParagraph">
    <w:name w:val="List Paragraph"/>
    <w:basedOn w:val="Normal"/>
    <w:uiPriority w:val="34"/>
    <w:qFormat/>
    <w:rsid w:val="00EF4E23"/>
    <w:pPr>
      <w:ind w:left="720"/>
      <w:contextualSpacing/>
    </w:pPr>
  </w:style>
  <w:style w:type="paragraph" w:styleId="FootnoteText">
    <w:name w:val="footnote text"/>
    <w:basedOn w:val="Normal"/>
    <w:link w:val="FootnoteTextChar"/>
    <w:rsid w:val="006E4FAE"/>
    <w:rPr>
      <w:sz w:val="20"/>
      <w:szCs w:val="20"/>
    </w:rPr>
  </w:style>
  <w:style w:type="character" w:customStyle="1" w:styleId="FootnoteTextChar">
    <w:name w:val="Footnote Text Char"/>
    <w:basedOn w:val="DefaultParagraphFont"/>
    <w:link w:val="FootnoteText"/>
    <w:rsid w:val="006E4FAE"/>
  </w:style>
  <w:style w:type="character" w:styleId="FootnoteReference">
    <w:name w:val="footnote reference"/>
    <w:basedOn w:val="DefaultParagraphFont"/>
    <w:rsid w:val="006E4FAE"/>
    <w:rPr>
      <w:rFonts w:ascii="ZapfCalligr BT" w:hAnsi="ZapfCalligr BT"/>
      <w:vertAlign w:val="superscript"/>
    </w:rPr>
  </w:style>
  <w:style w:type="character" w:customStyle="1" w:styleId="caps">
    <w:name w:val="caps"/>
    <w:basedOn w:val="DefaultParagraphFont"/>
    <w:rsid w:val="003C0272"/>
  </w:style>
</w:styles>
</file>

<file path=word/webSettings.xml><?xml version="1.0" encoding="utf-8"?>
<w:webSettings xmlns:r="http://schemas.openxmlformats.org/officeDocument/2006/relationships" xmlns:w="http://schemas.openxmlformats.org/wordprocessingml/2006/main">
  <w:divs>
    <w:div w:id="39014922">
      <w:bodyDiv w:val="1"/>
      <w:marLeft w:val="0"/>
      <w:marRight w:val="0"/>
      <w:marTop w:val="0"/>
      <w:marBottom w:val="0"/>
      <w:divBdr>
        <w:top w:val="none" w:sz="0" w:space="0" w:color="auto"/>
        <w:left w:val="none" w:sz="0" w:space="0" w:color="auto"/>
        <w:bottom w:val="none" w:sz="0" w:space="0" w:color="auto"/>
        <w:right w:val="none" w:sz="0" w:space="0" w:color="auto"/>
      </w:divBdr>
      <w:divsChild>
        <w:div w:id="1781755315">
          <w:marLeft w:val="0"/>
          <w:marRight w:val="0"/>
          <w:marTop w:val="0"/>
          <w:marBottom w:val="0"/>
          <w:divBdr>
            <w:top w:val="single" w:sz="6" w:space="1" w:color="CCCCCC"/>
            <w:left w:val="single" w:sz="6" w:space="1" w:color="CCCCCC"/>
            <w:bottom w:val="single" w:sz="6" w:space="1" w:color="CCCCCC"/>
            <w:right w:val="single" w:sz="6" w:space="1" w:color="CCCCCC"/>
          </w:divBdr>
          <w:divsChild>
            <w:div w:id="722414000">
              <w:marLeft w:val="0"/>
              <w:marRight w:val="0"/>
              <w:marTop w:val="0"/>
              <w:marBottom w:val="0"/>
              <w:divBdr>
                <w:top w:val="none" w:sz="0" w:space="0" w:color="auto"/>
                <w:left w:val="none" w:sz="0" w:space="0" w:color="auto"/>
                <w:bottom w:val="none" w:sz="0" w:space="0" w:color="auto"/>
                <w:right w:val="none" w:sz="0" w:space="0" w:color="auto"/>
              </w:divBdr>
              <w:divsChild>
                <w:div w:id="41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39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5">
          <w:marLeft w:val="0"/>
          <w:marRight w:val="0"/>
          <w:marTop w:val="0"/>
          <w:marBottom w:val="0"/>
          <w:divBdr>
            <w:top w:val="single" w:sz="6" w:space="1" w:color="CCCCCC"/>
            <w:left w:val="single" w:sz="6" w:space="1" w:color="CCCCCC"/>
            <w:bottom w:val="single" w:sz="6" w:space="1" w:color="CCCCCC"/>
            <w:right w:val="single" w:sz="6" w:space="1" w:color="CCCCCC"/>
          </w:divBdr>
          <w:divsChild>
            <w:div w:id="1038580441">
              <w:marLeft w:val="0"/>
              <w:marRight w:val="0"/>
              <w:marTop w:val="0"/>
              <w:marBottom w:val="0"/>
              <w:divBdr>
                <w:top w:val="none" w:sz="0" w:space="0" w:color="auto"/>
                <w:left w:val="none" w:sz="0" w:space="0" w:color="auto"/>
                <w:bottom w:val="none" w:sz="0" w:space="0" w:color="auto"/>
                <w:right w:val="none" w:sz="0" w:space="0" w:color="auto"/>
              </w:divBdr>
              <w:divsChild>
                <w:div w:id="12106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8362">
      <w:bodyDiv w:val="1"/>
      <w:marLeft w:val="0"/>
      <w:marRight w:val="0"/>
      <w:marTop w:val="0"/>
      <w:marBottom w:val="0"/>
      <w:divBdr>
        <w:top w:val="none" w:sz="0" w:space="0" w:color="auto"/>
        <w:left w:val="none" w:sz="0" w:space="0" w:color="auto"/>
        <w:bottom w:val="none" w:sz="0" w:space="0" w:color="auto"/>
        <w:right w:val="none" w:sz="0" w:space="0" w:color="auto"/>
      </w:divBdr>
      <w:divsChild>
        <w:div w:id="2142964971">
          <w:marLeft w:val="0"/>
          <w:marRight w:val="0"/>
          <w:marTop w:val="0"/>
          <w:marBottom w:val="0"/>
          <w:divBdr>
            <w:top w:val="none" w:sz="0" w:space="0" w:color="auto"/>
            <w:left w:val="none" w:sz="0" w:space="0" w:color="auto"/>
            <w:bottom w:val="none" w:sz="0" w:space="0" w:color="auto"/>
            <w:right w:val="none" w:sz="0" w:space="0" w:color="auto"/>
          </w:divBdr>
          <w:divsChild>
            <w:div w:id="77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573">
      <w:bodyDiv w:val="1"/>
      <w:marLeft w:val="0"/>
      <w:marRight w:val="0"/>
      <w:marTop w:val="0"/>
      <w:marBottom w:val="0"/>
      <w:divBdr>
        <w:top w:val="none" w:sz="0" w:space="0" w:color="auto"/>
        <w:left w:val="none" w:sz="0" w:space="0" w:color="auto"/>
        <w:bottom w:val="none" w:sz="0" w:space="0" w:color="auto"/>
        <w:right w:val="none" w:sz="0" w:space="0" w:color="auto"/>
      </w:divBdr>
      <w:divsChild>
        <w:div w:id="2126464047">
          <w:marLeft w:val="0"/>
          <w:marRight w:val="0"/>
          <w:marTop w:val="0"/>
          <w:marBottom w:val="0"/>
          <w:divBdr>
            <w:top w:val="none" w:sz="0" w:space="0" w:color="auto"/>
            <w:left w:val="none" w:sz="0" w:space="0" w:color="auto"/>
            <w:bottom w:val="none" w:sz="0" w:space="0" w:color="auto"/>
            <w:right w:val="none" w:sz="0" w:space="0" w:color="auto"/>
          </w:divBdr>
          <w:divsChild>
            <w:div w:id="1900357097">
              <w:marLeft w:val="0"/>
              <w:marRight w:val="0"/>
              <w:marTop w:val="0"/>
              <w:marBottom w:val="0"/>
              <w:divBdr>
                <w:top w:val="none" w:sz="0" w:space="0" w:color="auto"/>
                <w:left w:val="none" w:sz="0" w:space="0" w:color="auto"/>
                <w:bottom w:val="none" w:sz="0" w:space="0" w:color="auto"/>
                <w:right w:val="none" w:sz="0" w:space="0" w:color="auto"/>
              </w:divBdr>
              <w:divsChild>
                <w:div w:id="1604267291">
                  <w:marLeft w:val="0"/>
                  <w:marRight w:val="0"/>
                  <w:marTop w:val="0"/>
                  <w:marBottom w:val="0"/>
                  <w:divBdr>
                    <w:top w:val="none" w:sz="0" w:space="0" w:color="auto"/>
                    <w:left w:val="none" w:sz="0" w:space="0" w:color="auto"/>
                    <w:bottom w:val="none" w:sz="0" w:space="0" w:color="auto"/>
                    <w:right w:val="none" w:sz="0" w:space="0" w:color="auto"/>
                  </w:divBdr>
                  <w:divsChild>
                    <w:div w:id="1436097954">
                      <w:marLeft w:val="0"/>
                      <w:marRight w:val="0"/>
                      <w:marTop w:val="0"/>
                      <w:marBottom w:val="0"/>
                      <w:divBdr>
                        <w:top w:val="none" w:sz="0" w:space="0" w:color="auto"/>
                        <w:left w:val="none" w:sz="0" w:space="0" w:color="auto"/>
                        <w:bottom w:val="none" w:sz="0" w:space="0" w:color="auto"/>
                        <w:right w:val="none" w:sz="0" w:space="0" w:color="auto"/>
                      </w:divBdr>
                      <w:divsChild>
                        <w:div w:id="2023359477">
                          <w:marLeft w:val="0"/>
                          <w:marRight w:val="0"/>
                          <w:marTop w:val="0"/>
                          <w:marBottom w:val="0"/>
                          <w:divBdr>
                            <w:top w:val="none" w:sz="0" w:space="0" w:color="auto"/>
                            <w:left w:val="none" w:sz="0" w:space="0" w:color="auto"/>
                            <w:bottom w:val="none" w:sz="0" w:space="0" w:color="auto"/>
                            <w:right w:val="none" w:sz="0" w:space="0" w:color="auto"/>
                          </w:divBdr>
                          <w:divsChild>
                            <w:div w:id="675428436">
                              <w:marLeft w:val="0"/>
                              <w:marRight w:val="0"/>
                              <w:marTop w:val="0"/>
                              <w:marBottom w:val="0"/>
                              <w:divBdr>
                                <w:top w:val="none" w:sz="0" w:space="0" w:color="auto"/>
                                <w:left w:val="none" w:sz="0" w:space="0" w:color="auto"/>
                                <w:bottom w:val="none" w:sz="0" w:space="0" w:color="auto"/>
                                <w:right w:val="none" w:sz="0" w:space="0" w:color="auto"/>
                              </w:divBdr>
                              <w:divsChild>
                                <w:div w:id="1405373223">
                                  <w:marLeft w:val="0"/>
                                  <w:marRight w:val="0"/>
                                  <w:marTop w:val="0"/>
                                  <w:marBottom w:val="0"/>
                                  <w:divBdr>
                                    <w:top w:val="none" w:sz="0" w:space="0" w:color="auto"/>
                                    <w:left w:val="none" w:sz="0" w:space="0" w:color="auto"/>
                                    <w:bottom w:val="none" w:sz="0" w:space="0" w:color="auto"/>
                                    <w:right w:val="none" w:sz="0" w:space="0" w:color="auto"/>
                                  </w:divBdr>
                                  <w:divsChild>
                                    <w:div w:id="8927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929196">
      <w:bodyDiv w:val="1"/>
      <w:marLeft w:val="0"/>
      <w:marRight w:val="0"/>
      <w:marTop w:val="0"/>
      <w:marBottom w:val="0"/>
      <w:divBdr>
        <w:top w:val="none" w:sz="0" w:space="0" w:color="auto"/>
        <w:left w:val="none" w:sz="0" w:space="0" w:color="auto"/>
        <w:bottom w:val="none" w:sz="0" w:space="0" w:color="auto"/>
        <w:right w:val="none" w:sz="0" w:space="0" w:color="auto"/>
      </w:divBdr>
      <w:divsChild>
        <w:div w:id="158159943">
          <w:marLeft w:val="0"/>
          <w:marRight w:val="0"/>
          <w:marTop w:val="0"/>
          <w:marBottom w:val="0"/>
          <w:divBdr>
            <w:top w:val="single" w:sz="6" w:space="1" w:color="CCCCCC"/>
            <w:left w:val="single" w:sz="6" w:space="1" w:color="CCCCCC"/>
            <w:bottom w:val="single" w:sz="6" w:space="1" w:color="CCCCCC"/>
            <w:right w:val="single" w:sz="6" w:space="1" w:color="CCCCCC"/>
          </w:divBdr>
          <w:divsChild>
            <w:div w:id="88238564">
              <w:marLeft w:val="0"/>
              <w:marRight w:val="0"/>
              <w:marTop w:val="0"/>
              <w:marBottom w:val="0"/>
              <w:divBdr>
                <w:top w:val="none" w:sz="0" w:space="0" w:color="auto"/>
                <w:left w:val="none" w:sz="0" w:space="0" w:color="auto"/>
                <w:bottom w:val="none" w:sz="0" w:space="0" w:color="auto"/>
                <w:right w:val="none" w:sz="0" w:space="0" w:color="auto"/>
              </w:divBdr>
              <w:divsChild>
                <w:div w:id="948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4256">
      <w:bodyDiv w:val="1"/>
      <w:marLeft w:val="0"/>
      <w:marRight w:val="0"/>
      <w:marTop w:val="0"/>
      <w:marBottom w:val="0"/>
      <w:divBdr>
        <w:top w:val="none" w:sz="0" w:space="0" w:color="auto"/>
        <w:left w:val="none" w:sz="0" w:space="0" w:color="auto"/>
        <w:bottom w:val="none" w:sz="0" w:space="0" w:color="auto"/>
        <w:right w:val="none" w:sz="0" w:space="0" w:color="auto"/>
      </w:divBdr>
      <w:divsChild>
        <w:div w:id="2097827004">
          <w:marLeft w:val="0"/>
          <w:marRight w:val="0"/>
          <w:marTop w:val="0"/>
          <w:marBottom w:val="0"/>
          <w:divBdr>
            <w:top w:val="single" w:sz="6" w:space="1" w:color="CCCCCC"/>
            <w:left w:val="single" w:sz="6" w:space="1" w:color="CCCCCC"/>
            <w:bottom w:val="single" w:sz="6" w:space="1" w:color="CCCCCC"/>
            <w:right w:val="single" w:sz="6" w:space="1" w:color="CCCCCC"/>
          </w:divBdr>
          <w:divsChild>
            <w:div w:id="1816289213">
              <w:marLeft w:val="0"/>
              <w:marRight w:val="0"/>
              <w:marTop w:val="0"/>
              <w:marBottom w:val="0"/>
              <w:divBdr>
                <w:top w:val="none" w:sz="0" w:space="0" w:color="auto"/>
                <w:left w:val="none" w:sz="0" w:space="0" w:color="auto"/>
                <w:bottom w:val="none" w:sz="0" w:space="0" w:color="auto"/>
                <w:right w:val="none" w:sz="0" w:space="0" w:color="auto"/>
              </w:divBdr>
              <w:divsChild>
                <w:div w:id="86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844">
      <w:bodyDiv w:val="1"/>
      <w:marLeft w:val="0"/>
      <w:marRight w:val="0"/>
      <w:marTop w:val="0"/>
      <w:marBottom w:val="0"/>
      <w:divBdr>
        <w:top w:val="none" w:sz="0" w:space="0" w:color="auto"/>
        <w:left w:val="none" w:sz="0" w:space="0" w:color="auto"/>
        <w:bottom w:val="none" w:sz="0" w:space="0" w:color="auto"/>
        <w:right w:val="none" w:sz="0" w:space="0" w:color="auto"/>
      </w:divBdr>
      <w:divsChild>
        <w:div w:id="2003774930">
          <w:marLeft w:val="0"/>
          <w:marRight w:val="0"/>
          <w:marTop w:val="0"/>
          <w:marBottom w:val="0"/>
          <w:divBdr>
            <w:top w:val="single" w:sz="6" w:space="1" w:color="CCCCCC"/>
            <w:left w:val="single" w:sz="6" w:space="1" w:color="CCCCCC"/>
            <w:bottom w:val="single" w:sz="6" w:space="1" w:color="CCCCCC"/>
            <w:right w:val="single" w:sz="6" w:space="1" w:color="CCCCCC"/>
          </w:divBdr>
          <w:divsChild>
            <w:div w:id="2142964643">
              <w:marLeft w:val="0"/>
              <w:marRight w:val="0"/>
              <w:marTop w:val="0"/>
              <w:marBottom w:val="0"/>
              <w:divBdr>
                <w:top w:val="none" w:sz="0" w:space="0" w:color="auto"/>
                <w:left w:val="none" w:sz="0" w:space="0" w:color="auto"/>
                <w:bottom w:val="none" w:sz="0" w:space="0" w:color="auto"/>
                <w:right w:val="none" w:sz="0" w:space="0" w:color="auto"/>
              </w:divBdr>
              <w:divsChild>
                <w:div w:id="17946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5144">
      <w:bodyDiv w:val="1"/>
      <w:marLeft w:val="0"/>
      <w:marRight w:val="0"/>
      <w:marTop w:val="0"/>
      <w:marBottom w:val="0"/>
      <w:divBdr>
        <w:top w:val="none" w:sz="0" w:space="0" w:color="auto"/>
        <w:left w:val="none" w:sz="0" w:space="0" w:color="auto"/>
        <w:bottom w:val="none" w:sz="0" w:space="0" w:color="auto"/>
        <w:right w:val="none" w:sz="0" w:space="0" w:color="auto"/>
      </w:divBdr>
      <w:divsChild>
        <w:div w:id="1825316142">
          <w:marLeft w:val="0"/>
          <w:marRight w:val="0"/>
          <w:marTop w:val="0"/>
          <w:marBottom w:val="0"/>
          <w:divBdr>
            <w:top w:val="single" w:sz="6" w:space="1" w:color="CCCCCC"/>
            <w:left w:val="single" w:sz="6" w:space="1" w:color="CCCCCC"/>
            <w:bottom w:val="single" w:sz="6" w:space="1" w:color="CCCCCC"/>
            <w:right w:val="single" w:sz="6" w:space="1" w:color="CCCCCC"/>
          </w:divBdr>
          <w:divsChild>
            <w:div w:id="845636871">
              <w:marLeft w:val="0"/>
              <w:marRight w:val="0"/>
              <w:marTop w:val="0"/>
              <w:marBottom w:val="0"/>
              <w:divBdr>
                <w:top w:val="none" w:sz="0" w:space="0" w:color="auto"/>
                <w:left w:val="none" w:sz="0" w:space="0" w:color="auto"/>
                <w:bottom w:val="none" w:sz="0" w:space="0" w:color="auto"/>
                <w:right w:val="none" w:sz="0" w:space="0" w:color="auto"/>
              </w:divBdr>
              <w:divsChild>
                <w:div w:id="1227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601">
      <w:bodyDiv w:val="1"/>
      <w:marLeft w:val="0"/>
      <w:marRight w:val="0"/>
      <w:marTop w:val="0"/>
      <w:marBottom w:val="0"/>
      <w:divBdr>
        <w:top w:val="none" w:sz="0" w:space="0" w:color="auto"/>
        <w:left w:val="none" w:sz="0" w:space="0" w:color="auto"/>
        <w:bottom w:val="none" w:sz="0" w:space="0" w:color="auto"/>
        <w:right w:val="none" w:sz="0" w:space="0" w:color="auto"/>
      </w:divBdr>
      <w:divsChild>
        <w:div w:id="866020993">
          <w:marLeft w:val="0"/>
          <w:marRight w:val="0"/>
          <w:marTop w:val="0"/>
          <w:marBottom w:val="0"/>
          <w:divBdr>
            <w:top w:val="none" w:sz="0" w:space="0" w:color="auto"/>
            <w:left w:val="none" w:sz="0" w:space="0" w:color="auto"/>
            <w:bottom w:val="none" w:sz="0" w:space="0" w:color="auto"/>
            <w:right w:val="none" w:sz="0" w:space="0" w:color="auto"/>
          </w:divBdr>
          <w:divsChild>
            <w:div w:id="457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ah.state.fl.us/internet/default.cfm" TargetMode="External"/><Relationship Id="rId13" Type="http://schemas.openxmlformats.org/officeDocument/2006/relationships/hyperlink" Target="http://www.leg.state.fl.us/Statutes/index.cfm?App_mode=Display_Statute&amp;Search_String=&amp;URL=Ch0403/SEC518.HTM&amp;Title=-%3e2008-%3eCh0403-%3eSection%20518" TargetMode="External"/><Relationship Id="rId18" Type="http://schemas.openxmlformats.org/officeDocument/2006/relationships/hyperlink" Target="http://www.leg.state.fl.us/Statutes/index.cfm?App_mode=Display_Statute&amp;Search_String=&amp;URL=Ch0440/SEC50.HTM&amp;Title=-%3e2008-%3eCh0440-%3eSection%20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fchr.state.fl.us/fchr/complaints__1/florida_s_whistle_blower_s_act" TargetMode="External"/><Relationship Id="rId7" Type="http://schemas.openxmlformats.org/officeDocument/2006/relationships/endnotes" Target="endnotes.xml"/><Relationship Id="rId12" Type="http://schemas.openxmlformats.org/officeDocument/2006/relationships/hyperlink" Target="http://www.leg.state.fl.us/Statutes/index.cfm?App_mode=Display_Statute&amp;Search_String=&amp;URL=Ch0766/SEC305.HTM&amp;Title=-%3e2008-%3eCh0766-%3eSection%20305" TargetMode="External"/><Relationship Id="rId17" Type="http://schemas.openxmlformats.org/officeDocument/2006/relationships/hyperlink" Target="http://www.fldfs.com/WC/pdf/DFS-01-200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cc.state.fl.us/JCC/Districts/districtsInfo.asp" TargetMode="External"/><Relationship Id="rId20" Type="http://schemas.openxmlformats.org/officeDocument/2006/relationships/hyperlink" Target="http://www.hud.gov/offices/fheo/FHLaws/index.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state.fl.us/Statutes/index.cfm?App_mode=Display_Statute&amp;URL=Ch0120/titl0120.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cc.state.fl.us/jcc/" TargetMode="External"/><Relationship Id="rId23" Type="http://schemas.openxmlformats.org/officeDocument/2006/relationships/hyperlink" Target="http://fchr.state.fl.us/fchr/about_us/commissioners__1" TargetMode="External"/><Relationship Id="rId10" Type="http://schemas.openxmlformats.org/officeDocument/2006/relationships/hyperlink" Target="http://www.leg.state.fl.us/Statutes/index.cfm?App_mode=Display_Statute&amp;Search_String=&amp;URL=Ch0014/SEC202.HTM&amp;Title=-%3e2008-%3eCh0014-%3eSection%20202" TargetMode="External"/><Relationship Id="rId19" Type="http://schemas.openxmlformats.org/officeDocument/2006/relationships/hyperlink" Target="http://www.leg.state.fl.us/statutes/index.cfm?App_mode=Display_Statute&amp;URL=Ch0760/titl0760.htm" TargetMode="Externa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Ch0120/SEC65.HTM&amp;Title=-%3e2008-%3eCh0120-%3eSection%2065" TargetMode="External"/><Relationship Id="rId14" Type="http://schemas.openxmlformats.org/officeDocument/2006/relationships/hyperlink" Target="http://www.leg.state.fl.us/Statutes/index.cfm?App_mode=Display_Statute&amp;Search_String=&amp;URL=Ch0440/SEC45.HTM&amp;Title=-%3e2008-%3eCh0440-%3eSection%2045" TargetMode="External"/><Relationship Id="rId22" Type="http://schemas.openxmlformats.org/officeDocument/2006/relationships/hyperlink" Target="http://www.leg.state.fl.us/statutes/index.cfm?mode=View%20Statutes&amp;SubMenu=1&amp;App_mode=Display_Statute&amp;Search_String=760.11&amp;URL=CH0760/Sec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C16A-0B18-4E37-9740-7B0F9887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4</Pages>
  <Words>1675</Words>
  <Characters>11742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163, Part II</vt:lpstr>
    </vt:vector>
  </TitlesOfParts>
  <Company>State of Florida</Company>
  <LinksUpToDate>false</LinksUpToDate>
  <CharactersWithSpaces>13391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 Part II</dc:title>
  <dc:subject/>
  <dc:creator>gilreath.debbie</dc:creator>
  <cp:keywords/>
  <dc:description/>
  <cp:lastModifiedBy>GILREATH.DEBBIE</cp:lastModifiedBy>
  <cp:revision>9</cp:revision>
  <cp:lastPrinted>2009-11-13T18:06:00Z</cp:lastPrinted>
  <dcterms:created xsi:type="dcterms:W3CDTF">2009-11-12T20:36:00Z</dcterms:created>
  <dcterms:modified xsi:type="dcterms:W3CDTF">2009-11-25T16:17:00Z</dcterms:modified>
</cp:coreProperties>
</file>