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90" w:rsidRDefault="00211C90" w:rsidP="00211C90">
      <w:pPr>
        <w:pStyle w:val="bodytext"/>
        <w:spacing w:before="120"/>
        <w:jc w:val="center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>Department of State</w:t>
      </w:r>
      <w:r>
        <w:rPr>
          <w:rFonts w:ascii="Arial Black" w:hAnsi="Arial Black"/>
          <w:b/>
          <w:i/>
          <w:sz w:val="24"/>
          <w:szCs w:val="24"/>
        </w:rPr>
        <w:br/>
      </w:r>
      <w:r w:rsidR="00E1049A">
        <w:rPr>
          <w:rFonts w:ascii="Arial Black" w:hAnsi="Arial Black"/>
          <w:b/>
          <w:i/>
          <w:sz w:val="24"/>
          <w:szCs w:val="24"/>
        </w:rPr>
        <w:t>Single Business Identifier/Master Business Index</w:t>
      </w:r>
    </w:p>
    <w:p w:rsidR="00211C90" w:rsidRDefault="00211C90" w:rsidP="00211C90">
      <w:pPr>
        <w:pStyle w:val="bodytext"/>
        <w:spacing w:before="120"/>
        <w:jc w:val="center"/>
        <w:rPr>
          <w:rFonts w:ascii="Arial Black" w:hAnsi="Arial Black"/>
          <w:b/>
          <w:i/>
          <w:sz w:val="24"/>
          <w:szCs w:val="24"/>
        </w:rPr>
      </w:pPr>
    </w:p>
    <w:p w:rsidR="00211C90" w:rsidRDefault="00211C90" w:rsidP="00211C90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>Policy Issue</w:t>
      </w:r>
    </w:p>
    <w:p w:rsidR="00211C90" w:rsidRDefault="00211C90" w:rsidP="00353B57">
      <w:pPr>
        <w:pStyle w:val="bodytext"/>
        <w:spacing w:before="120"/>
      </w:pPr>
      <w:r>
        <w:t xml:space="preserve">Should the </w:t>
      </w:r>
      <w:r w:rsidR="00353B57">
        <w:t>Legislature</w:t>
      </w:r>
      <w:r w:rsidR="00CA7F9E">
        <w:t xml:space="preserve"> </w:t>
      </w:r>
      <w:r w:rsidR="00F5168F">
        <w:t>have the Department of State continue to pursue the use of the Single Business Identifier/Master Business Index (SBI/MBI)</w:t>
      </w:r>
      <w:r w:rsidR="00353B57">
        <w:t>?</w:t>
      </w:r>
    </w:p>
    <w:p w:rsidR="00211C90" w:rsidRPr="00906FB6" w:rsidRDefault="00211C90" w:rsidP="00211C90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  <w:r w:rsidRPr="00906FB6">
        <w:rPr>
          <w:rFonts w:ascii="Arial Black" w:hAnsi="Arial Black"/>
          <w:b/>
          <w:i/>
          <w:sz w:val="24"/>
          <w:szCs w:val="24"/>
        </w:rPr>
        <w:t>Background</w:t>
      </w:r>
    </w:p>
    <w:p w:rsidR="00353B57" w:rsidRDefault="00353B57" w:rsidP="00353B57">
      <w:pPr>
        <w:pStyle w:val="bodytext"/>
      </w:pPr>
      <w:r w:rsidRPr="00353B57">
        <w:t>Individuals that start businesses in Florida must</w:t>
      </w:r>
      <w:r>
        <w:t xml:space="preserve"> </w:t>
      </w:r>
      <w:r w:rsidRPr="00353B57">
        <w:t>interact with multiple state agencies to obtain</w:t>
      </w:r>
      <w:r>
        <w:t xml:space="preserve"> </w:t>
      </w:r>
      <w:r w:rsidRPr="00353B57">
        <w:t>needed registrations, licenses, and tax certificates</w:t>
      </w:r>
      <w:r>
        <w:t xml:space="preserve">. </w:t>
      </w:r>
      <w:r w:rsidR="004B68C7">
        <w:t>B</w:t>
      </w:r>
      <w:r w:rsidRPr="00353B57">
        <w:t>usinesses</w:t>
      </w:r>
      <w:r w:rsidR="004B68C7">
        <w:t xml:space="preserve"> may find it hard</w:t>
      </w:r>
      <w:r w:rsidRPr="00353B57">
        <w:t xml:space="preserve"> to determine what licenses, permits,</w:t>
      </w:r>
      <w:r>
        <w:t xml:space="preserve"> </w:t>
      </w:r>
      <w:r w:rsidRPr="00353B57">
        <w:t>and registrations they need to legally operate in</w:t>
      </w:r>
      <w:r>
        <w:t xml:space="preserve"> </w:t>
      </w:r>
      <w:r w:rsidRPr="00353B57">
        <w:t xml:space="preserve">Florida, and the process often </w:t>
      </w:r>
      <w:r w:rsidR="004B68C7">
        <w:t>asks app</w:t>
      </w:r>
      <w:r w:rsidRPr="00353B57">
        <w:t xml:space="preserve">licants </w:t>
      </w:r>
      <w:r w:rsidR="004B68C7">
        <w:t>for</w:t>
      </w:r>
      <w:r w:rsidRPr="00353B57">
        <w:t xml:space="preserve"> similar information (e.g.,</w:t>
      </w:r>
      <w:r>
        <w:t xml:space="preserve"> </w:t>
      </w:r>
      <w:r w:rsidRPr="00353B57">
        <w:t xml:space="preserve">name, address, and business type) </w:t>
      </w:r>
      <w:r w:rsidR="004B68C7">
        <w:t>by</w:t>
      </w:r>
      <w:r w:rsidRPr="00353B57">
        <w:t xml:space="preserve"> multiple</w:t>
      </w:r>
      <w:r>
        <w:t xml:space="preserve"> </w:t>
      </w:r>
      <w:r w:rsidRPr="00353B57">
        <w:t>agencies.</w:t>
      </w:r>
    </w:p>
    <w:p w:rsidR="00353B57" w:rsidRDefault="00353B57" w:rsidP="00353B57">
      <w:pPr>
        <w:pStyle w:val="bodytext"/>
      </w:pPr>
      <w:r w:rsidRPr="00353B57">
        <w:t>In 1997, the</w:t>
      </w:r>
      <w:r>
        <w:t xml:space="preserve"> </w:t>
      </w:r>
      <w:r w:rsidRPr="00353B57">
        <w:t>Legislature recognized that state government</w:t>
      </w:r>
      <w:r>
        <w:t xml:space="preserve"> </w:t>
      </w:r>
      <w:r w:rsidRPr="00353B57">
        <w:t>requirements for establishing businesses were</w:t>
      </w:r>
      <w:r>
        <w:t xml:space="preserve"> </w:t>
      </w:r>
      <w:r w:rsidRPr="00353B57">
        <w:t>cumbersome and placed an undue hardship on</w:t>
      </w:r>
      <w:r>
        <w:t xml:space="preserve"> </w:t>
      </w:r>
      <w:r w:rsidRPr="00353B57">
        <w:t>the business community. To address these</w:t>
      </w:r>
      <w:r>
        <w:t xml:space="preserve"> </w:t>
      </w:r>
      <w:r w:rsidRPr="00353B57">
        <w:t>issues, the Legislature enacted the Florida</w:t>
      </w:r>
      <w:r>
        <w:t xml:space="preserve"> </w:t>
      </w:r>
      <w:r w:rsidRPr="00353B57">
        <w:t>Business Coordination Act</w:t>
      </w:r>
      <w:r>
        <w:rPr>
          <w:rStyle w:val="FootnoteReference"/>
        </w:rPr>
        <w:footnoteReference w:id="1"/>
      </w:r>
      <w:r w:rsidRPr="00353B57">
        <w:t>. This act directed</w:t>
      </w:r>
      <w:r>
        <w:t xml:space="preserve"> </w:t>
      </w:r>
      <w:r w:rsidRPr="00353B57">
        <w:t>the Department of State to develop a master</w:t>
      </w:r>
      <w:r>
        <w:t xml:space="preserve"> </w:t>
      </w:r>
      <w:r w:rsidRPr="00353B57">
        <w:t>business index, which was to consolidate all</w:t>
      </w:r>
      <w:r>
        <w:t xml:space="preserve"> </w:t>
      </w:r>
      <w:r w:rsidRPr="00353B57">
        <w:t>business entity records maintained by state</w:t>
      </w:r>
      <w:r>
        <w:t xml:space="preserve"> </w:t>
      </w:r>
      <w:r w:rsidRPr="00353B57">
        <w:t>agencies and assign a single identifying number</w:t>
      </w:r>
      <w:r>
        <w:t xml:space="preserve"> </w:t>
      </w:r>
      <w:r w:rsidRPr="00353B57">
        <w:t>to each business to enable agencies to share and</w:t>
      </w:r>
      <w:r>
        <w:t xml:space="preserve"> </w:t>
      </w:r>
      <w:r w:rsidRPr="00353B57">
        <w:t>easily retrieve business registration and license</w:t>
      </w:r>
      <w:r>
        <w:t xml:space="preserve"> </w:t>
      </w:r>
      <w:r w:rsidRPr="00353B57">
        <w:t>information.</w:t>
      </w:r>
      <w:r>
        <w:t xml:space="preserve"> </w:t>
      </w:r>
    </w:p>
    <w:p w:rsidR="00353B57" w:rsidRDefault="00353B57" w:rsidP="00353B57">
      <w:pPr>
        <w:pStyle w:val="bodytext"/>
      </w:pPr>
      <w:r w:rsidRPr="00353B57">
        <w:t>The 1999 Legislature modified the act to require</w:t>
      </w:r>
      <w:r>
        <w:t xml:space="preserve"> </w:t>
      </w:r>
      <w:r w:rsidRPr="00353B57">
        <w:t>participating agencies to use, contribute, and</w:t>
      </w:r>
      <w:r>
        <w:t xml:space="preserve"> </w:t>
      </w:r>
      <w:r w:rsidRPr="00353B57">
        <w:t>share information through the master business</w:t>
      </w:r>
      <w:r>
        <w:t xml:space="preserve"> </w:t>
      </w:r>
      <w:r w:rsidRPr="00353B57">
        <w:t>index. However, the act does not require state</w:t>
      </w:r>
      <w:r>
        <w:t xml:space="preserve"> </w:t>
      </w:r>
      <w:r w:rsidRPr="00353B57">
        <w:t>agencies to participate</w:t>
      </w:r>
      <w:r>
        <w:rPr>
          <w:rStyle w:val="FootnoteReference"/>
        </w:rPr>
        <w:footnoteReference w:id="2"/>
      </w:r>
      <w:r w:rsidRPr="00353B57">
        <w:t>. In addition, the</w:t>
      </w:r>
      <w:r>
        <w:t xml:space="preserve"> </w:t>
      </w:r>
      <w:r w:rsidRPr="00353B57">
        <w:t>Legislature directed that the master business</w:t>
      </w:r>
      <w:r>
        <w:t xml:space="preserve"> </w:t>
      </w:r>
      <w:r w:rsidRPr="00353B57">
        <w:t>index be a central index of business entities and</w:t>
      </w:r>
      <w:r>
        <w:t xml:space="preserve"> </w:t>
      </w:r>
      <w:r w:rsidRPr="00353B57">
        <w:t>list all licenses and registrations held by a</w:t>
      </w:r>
      <w:r>
        <w:t xml:space="preserve"> </w:t>
      </w:r>
      <w:r w:rsidRPr="00353B57">
        <w:t>business with any participating state agency.</w:t>
      </w:r>
      <w:r>
        <w:t xml:space="preserve"> </w:t>
      </w:r>
      <w:r w:rsidRPr="00353B57">
        <w:t>The Legislature also required the Department of</w:t>
      </w:r>
      <w:r>
        <w:t xml:space="preserve"> </w:t>
      </w:r>
      <w:r w:rsidRPr="00353B57">
        <w:t>State to create a uniform business report for</w:t>
      </w:r>
      <w:r>
        <w:t xml:space="preserve"> </w:t>
      </w:r>
      <w:r w:rsidRPr="00353B57">
        <w:t>collecting and updating data for the master</w:t>
      </w:r>
      <w:r>
        <w:t xml:space="preserve"> </w:t>
      </w:r>
      <w:r w:rsidRPr="00353B57">
        <w:t>business index.</w:t>
      </w:r>
      <w:r>
        <w:t xml:space="preserve"> </w:t>
      </w:r>
    </w:p>
    <w:p w:rsidR="007D3E57" w:rsidRDefault="007D3E57">
      <w:pPr>
        <w:rPr>
          <w:rStyle w:val="Emphasis"/>
          <w:rFonts w:eastAsia="Times New Roman" w:cs="Times New Roman"/>
          <w:i/>
          <w:sz w:val="20"/>
          <w:szCs w:val="20"/>
        </w:rPr>
      </w:pPr>
    </w:p>
    <w:p w:rsidR="001416FC" w:rsidRDefault="00211C90" w:rsidP="00353B57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>Findings</w:t>
      </w:r>
    </w:p>
    <w:p w:rsidR="00576AC1" w:rsidRDefault="00576AC1" w:rsidP="00576AC1">
      <w:pPr>
        <w:pStyle w:val="bodytext"/>
        <w:spacing w:before="120"/>
      </w:pPr>
      <w:r w:rsidRPr="00576AC1">
        <w:t>In 1999, the department created a single business</w:t>
      </w:r>
      <w:r>
        <w:t xml:space="preserve"> </w:t>
      </w:r>
      <w:r w:rsidRPr="00576AC1">
        <w:t>identifier to meet the requirements of the</w:t>
      </w:r>
      <w:r w:rsidRPr="00576AC1">
        <w:rPr>
          <w:rFonts w:ascii="ZapfCalligraphic801BT-Roman" w:hAnsi="ZapfCalligraphic801BT-Roman" w:cs="ZapfCalligraphic801BT-Roman"/>
          <w:szCs w:val="22"/>
        </w:rPr>
        <w:t xml:space="preserve"> </w:t>
      </w:r>
      <w:r w:rsidRPr="00576AC1">
        <w:t>Florida</w:t>
      </w:r>
      <w:r>
        <w:t xml:space="preserve"> </w:t>
      </w:r>
      <w:r w:rsidRPr="00576AC1">
        <w:t>Business Coordination</w:t>
      </w:r>
      <w:r>
        <w:t xml:space="preserve"> A</w:t>
      </w:r>
      <w:r w:rsidRPr="00576AC1">
        <w:t>ct.</w:t>
      </w:r>
      <w:r>
        <w:t xml:space="preserve"> </w:t>
      </w:r>
      <w:r w:rsidRPr="00576AC1">
        <w:t>However, as no other agency volunteered to</w:t>
      </w:r>
      <w:r>
        <w:t xml:space="preserve"> </w:t>
      </w:r>
      <w:r w:rsidRPr="00576AC1">
        <w:t>participate in this effort, the business identifier is</w:t>
      </w:r>
      <w:r>
        <w:t xml:space="preserve"> </w:t>
      </w:r>
      <w:r w:rsidRPr="00576AC1">
        <w:t>used only by the Department of State and it</w:t>
      </w:r>
      <w:r>
        <w:t xml:space="preserve"> </w:t>
      </w:r>
      <w:r w:rsidRPr="00576AC1">
        <w:t>cannot yet be used to access business registration</w:t>
      </w:r>
      <w:r>
        <w:t xml:space="preserve"> </w:t>
      </w:r>
      <w:r w:rsidRPr="00576AC1">
        <w:t>or license information from other agencies. Also,</w:t>
      </w:r>
      <w:r>
        <w:t xml:space="preserve"> </w:t>
      </w:r>
      <w:r w:rsidRPr="00576AC1">
        <w:t>in 2000 the department implemented a Uniform</w:t>
      </w:r>
      <w:r>
        <w:t xml:space="preserve"> </w:t>
      </w:r>
      <w:r w:rsidRPr="00576AC1">
        <w:t>Business Report to list registration and licensure</w:t>
      </w:r>
      <w:r>
        <w:t xml:space="preserve"> </w:t>
      </w:r>
      <w:r w:rsidRPr="00576AC1">
        <w:t>information for each business. However, as no</w:t>
      </w:r>
      <w:r>
        <w:t xml:space="preserve"> </w:t>
      </w:r>
      <w:r w:rsidRPr="00576AC1">
        <w:t>other agency has participated in this effort, only</w:t>
      </w:r>
      <w:r>
        <w:t xml:space="preserve"> </w:t>
      </w:r>
      <w:r w:rsidRPr="00576AC1">
        <w:t>Department of State data are included in the</w:t>
      </w:r>
      <w:r>
        <w:t xml:space="preserve"> </w:t>
      </w:r>
      <w:r w:rsidRPr="00576AC1">
        <w:t>report.</w:t>
      </w:r>
      <w:r>
        <w:t xml:space="preserve"> </w:t>
      </w:r>
    </w:p>
    <w:p w:rsidR="00576AC1" w:rsidRPr="00576AC1" w:rsidRDefault="00576AC1" w:rsidP="00576AC1">
      <w:pPr>
        <w:pStyle w:val="bodytext"/>
        <w:rPr>
          <w:rStyle w:val="Emphasis"/>
          <w:b/>
          <w:sz w:val="20"/>
        </w:rPr>
      </w:pPr>
      <w:r>
        <w:t>Currently starting a business in Florida requires separate interaction with multiple agencies:</w:t>
      </w:r>
    </w:p>
    <w:p w:rsidR="00576AC1" w:rsidRPr="006A6066" w:rsidRDefault="00576AC1" w:rsidP="00576AC1">
      <w:pPr>
        <w:pStyle w:val="bodytext"/>
        <w:rPr>
          <w:rStyle w:val="Emphasis"/>
          <w:i/>
          <w:sz w:val="20"/>
        </w:rPr>
      </w:pPr>
      <w:r w:rsidRPr="006A6066">
        <w:rPr>
          <w:rStyle w:val="Emphasis"/>
          <w:i/>
          <w:sz w:val="20"/>
        </w:rPr>
        <w:t>The Department of State</w:t>
      </w:r>
    </w:p>
    <w:p w:rsidR="00576AC1" w:rsidRDefault="00576AC1" w:rsidP="00576AC1">
      <w:pPr>
        <w:pStyle w:val="bodytext"/>
      </w:pPr>
      <w:r w:rsidRPr="007D3E57">
        <w:t>Department of State,</w:t>
      </w:r>
      <w:r>
        <w:t xml:space="preserve"> </w:t>
      </w:r>
      <w:r w:rsidRPr="007D3E57">
        <w:t>Division of Corporations</w:t>
      </w:r>
      <w:r>
        <w:t xml:space="preserve"> </w:t>
      </w:r>
      <w:r w:rsidRPr="007D3E57">
        <w:t>Business registration – Corporate</w:t>
      </w:r>
      <w:r>
        <w:t xml:space="preserve"> </w:t>
      </w:r>
      <w:r w:rsidRPr="007D3E57">
        <w:t>entities must usually register with</w:t>
      </w:r>
      <w:r>
        <w:t xml:space="preserve"> </w:t>
      </w:r>
      <w:r w:rsidRPr="007D3E57">
        <w:t>the Division of Corporations, and</w:t>
      </w:r>
      <w:r>
        <w:t xml:space="preserve"> </w:t>
      </w:r>
      <w:r w:rsidRPr="007D3E57">
        <w:t>entities conducting business under</w:t>
      </w:r>
      <w:r>
        <w:t xml:space="preserve"> </w:t>
      </w:r>
      <w:r w:rsidRPr="007D3E57">
        <w:t>a name other than their own are</w:t>
      </w:r>
      <w:r>
        <w:t xml:space="preserve"> </w:t>
      </w:r>
      <w:r w:rsidRPr="007D3E57">
        <w:t>required to register their fictitious</w:t>
      </w:r>
      <w:r>
        <w:t xml:space="preserve"> </w:t>
      </w:r>
      <w:r w:rsidRPr="007D3E57">
        <w:t>name.</w:t>
      </w:r>
    </w:p>
    <w:p w:rsidR="00576AC1" w:rsidRDefault="00576AC1" w:rsidP="00576AC1">
      <w:pPr>
        <w:pStyle w:val="bodytext"/>
        <w:jc w:val="left"/>
        <w:rPr>
          <w:rFonts w:ascii="Arial Black" w:hAnsi="Arial Black"/>
          <w:i/>
          <w:sz w:val="20"/>
        </w:rPr>
      </w:pPr>
      <w:r>
        <w:rPr>
          <w:rFonts w:ascii="Arial Black" w:hAnsi="Arial Black"/>
          <w:i/>
          <w:sz w:val="20"/>
        </w:rPr>
        <w:lastRenderedPageBreak/>
        <w:t>Department of Revenue</w:t>
      </w:r>
    </w:p>
    <w:p w:rsidR="00576AC1" w:rsidRDefault="00576AC1" w:rsidP="00576AC1">
      <w:pPr>
        <w:pStyle w:val="bodytext"/>
      </w:pPr>
      <w:r w:rsidRPr="007D3E57">
        <w:t>Department of Revenue,</w:t>
      </w:r>
      <w:r>
        <w:t xml:space="preserve"> </w:t>
      </w:r>
      <w:r w:rsidRPr="007D3E57">
        <w:t>General Tax Administration</w:t>
      </w:r>
      <w:r>
        <w:t xml:space="preserve"> </w:t>
      </w:r>
      <w:r w:rsidRPr="007D3E57">
        <w:t>Tax certificate(s) – Businesses that</w:t>
      </w:r>
      <w:r>
        <w:t xml:space="preserve"> </w:t>
      </w:r>
      <w:r w:rsidRPr="007D3E57">
        <w:t>sell taxable goods and services</w:t>
      </w:r>
      <w:r>
        <w:t xml:space="preserve"> </w:t>
      </w:r>
      <w:r w:rsidRPr="007D3E57">
        <w:t>must obtain a tax certificate(s) from</w:t>
      </w:r>
      <w:r>
        <w:t xml:space="preserve"> </w:t>
      </w:r>
      <w:r w:rsidRPr="007D3E57">
        <w:t>the Department of Revenue, which</w:t>
      </w:r>
      <w:r>
        <w:t xml:space="preserve"> </w:t>
      </w:r>
      <w:r w:rsidRPr="007D3E57">
        <w:t>administers the collection of 33</w:t>
      </w:r>
      <w:r>
        <w:t xml:space="preserve"> </w:t>
      </w:r>
      <w:r w:rsidRPr="007D3E57">
        <w:t>taxes and fees, including sales and</w:t>
      </w:r>
      <w:r>
        <w:t xml:space="preserve"> </w:t>
      </w:r>
      <w:r w:rsidRPr="007D3E57">
        <w:t>use, corporate income, and</w:t>
      </w:r>
      <w:r>
        <w:t xml:space="preserve"> </w:t>
      </w:r>
      <w:r w:rsidRPr="007D3E57">
        <w:t>Unemployment Compensation Tax</w:t>
      </w:r>
      <w:r>
        <w:t>.</w:t>
      </w:r>
    </w:p>
    <w:p w:rsidR="00576AC1" w:rsidRPr="007D3E57" w:rsidRDefault="00576AC1" w:rsidP="00576AC1">
      <w:pPr>
        <w:pStyle w:val="bodytext"/>
        <w:jc w:val="left"/>
        <w:rPr>
          <w:rFonts w:ascii="Arial Black" w:hAnsi="Arial Black" w:cs="Arial"/>
          <w:i/>
          <w:sz w:val="20"/>
        </w:rPr>
      </w:pPr>
      <w:r w:rsidRPr="007D3E57">
        <w:rPr>
          <w:rFonts w:ascii="Arial Black" w:hAnsi="Arial Black" w:cs="Arial"/>
          <w:i/>
          <w:sz w:val="20"/>
        </w:rPr>
        <w:t>Department of Business and Professional Regulation</w:t>
      </w:r>
    </w:p>
    <w:p w:rsidR="00576AC1" w:rsidRDefault="00576AC1" w:rsidP="00576AC1">
      <w:pPr>
        <w:pStyle w:val="bodytext"/>
      </w:pPr>
      <w:r w:rsidRPr="007D3E57">
        <w:t>Department of Business</w:t>
      </w:r>
      <w:r>
        <w:t xml:space="preserve"> </w:t>
      </w:r>
      <w:r w:rsidRPr="007D3E57">
        <w:t>and Professional</w:t>
      </w:r>
      <w:r>
        <w:t xml:space="preserve"> </w:t>
      </w:r>
      <w:r w:rsidRPr="007D3E57">
        <w:t>Regulation, Professional</w:t>
      </w:r>
      <w:r>
        <w:t xml:space="preserve"> </w:t>
      </w:r>
      <w:r w:rsidRPr="007D3E57">
        <w:t>Regulation Program</w:t>
      </w:r>
      <w:r>
        <w:t xml:space="preserve"> </w:t>
      </w:r>
      <w:r w:rsidRPr="007D3E57">
        <w:t>Business or professional license –</w:t>
      </w:r>
      <w:r>
        <w:t xml:space="preserve"> </w:t>
      </w:r>
      <w:r w:rsidRPr="007D3E57">
        <w:t>Individuals and companies in many</w:t>
      </w:r>
      <w:r>
        <w:t xml:space="preserve"> </w:t>
      </w:r>
      <w:r w:rsidRPr="007D3E57">
        <w:t>business and professional fields</w:t>
      </w:r>
      <w:r>
        <w:t xml:space="preserve"> </w:t>
      </w:r>
      <w:r w:rsidRPr="007D3E57">
        <w:t>must obtain licenses from the</w:t>
      </w:r>
      <w:r>
        <w:t xml:space="preserve"> </w:t>
      </w:r>
      <w:r w:rsidRPr="007D3E57">
        <w:t>Department of Business and</w:t>
      </w:r>
      <w:r>
        <w:t xml:space="preserve"> </w:t>
      </w:r>
      <w:r w:rsidRPr="007D3E57">
        <w:t>Professional Regulation</w:t>
      </w:r>
      <w:r>
        <w:t>.</w:t>
      </w:r>
    </w:p>
    <w:p w:rsidR="00576AC1" w:rsidRPr="007D3E57" w:rsidRDefault="00576AC1" w:rsidP="00576AC1">
      <w:pPr>
        <w:pStyle w:val="bodytext"/>
        <w:jc w:val="left"/>
        <w:rPr>
          <w:rFonts w:ascii="Arial Black" w:hAnsi="Arial Black"/>
          <w:i/>
          <w:sz w:val="20"/>
        </w:rPr>
      </w:pPr>
      <w:r w:rsidRPr="007D3E57">
        <w:rPr>
          <w:rFonts w:ascii="Arial Black" w:hAnsi="Arial Black"/>
          <w:i/>
          <w:sz w:val="20"/>
        </w:rPr>
        <w:t>Other State Agencies</w:t>
      </w:r>
    </w:p>
    <w:p w:rsidR="00576AC1" w:rsidRDefault="00576AC1" w:rsidP="00576AC1">
      <w:pPr>
        <w:pStyle w:val="bodytext"/>
      </w:pPr>
      <w:r w:rsidRPr="007D3E57">
        <w:t>Other licenses and permits –</w:t>
      </w:r>
      <w:r>
        <w:t xml:space="preserve"> </w:t>
      </w:r>
      <w:r w:rsidRPr="007D3E57">
        <w:t>Individuals and companies in many</w:t>
      </w:r>
      <w:r>
        <w:t xml:space="preserve"> </w:t>
      </w:r>
      <w:r w:rsidRPr="007D3E57">
        <w:t>business fields must interact with</w:t>
      </w:r>
      <w:r>
        <w:t xml:space="preserve"> </w:t>
      </w:r>
      <w:r w:rsidRPr="007D3E57">
        <w:t>other agencies, including the</w:t>
      </w:r>
      <w:r>
        <w:t xml:space="preserve"> </w:t>
      </w:r>
      <w:r w:rsidRPr="007D3E57">
        <w:t>Department of Agriculture and</w:t>
      </w:r>
      <w:r>
        <w:t xml:space="preserve"> </w:t>
      </w:r>
      <w:r w:rsidRPr="007D3E57">
        <w:t>Consumer Services, Department of</w:t>
      </w:r>
      <w:r>
        <w:t xml:space="preserve"> </w:t>
      </w:r>
      <w:r w:rsidRPr="007D3E57">
        <w:t>Environmental Protection,</w:t>
      </w:r>
      <w:r>
        <w:t xml:space="preserve"> </w:t>
      </w:r>
      <w:r w:rsidRPr="007D3E57">
        <w:t>Department of Financial Services,</w:t>
      </w:r>
      <w:r>
        <w:t xml:space="preserve"> </w:t>
      </w:r>
      <w:r w:rsidRPr="007D3E57">
        <w:t>and Department of Health.</w:t>
      </w:r>
    </w:p>
    <w:p w:rsidR="00B664AA" w:rsidRDefault="00B664AA" w:rsidP="00B664AA">
      <w:pPr>
        <w:pStyle w:val="bodytext"/>
        <w:spacing w:before="120"/>
      </w:pPr>
      <w:r w:rsidRPr="00B664AA">
        <w:t>Over the last decade, the state has</w:t>
      </w:r>
      <w:r>
        <w:t xml:space="preserve"> </w:t>
      </w:r>
      <w:r w:rsidRPr="00B664AA">
        <w:t>considered several proposals to consolidate and</w:t>
      </w:r>
      <w:r>
        <w:t xml:space="preserve"> </w:t>
      </w:r>
      <w:r w:rsidRPr="00B664AA">
        <w:t>streamline state agency business-related</w:t>
      </w:r>
      <w:r>
        <w:t xml:space="preserve"> </w:t>
      </w:r>
      <w:r w:rsidRPr="00B664AA">
        <w:t>functions.</w:t>
      </w:r>
      <w:r>
        <w:t xml:space="preserve"> </w:t>
      </w:r>
    </w:p>
    <w:p w:rsidR="00B664AA" w:rsidRPr="00B664AA" w:rsidRDefault="00B664AA" w:rsidP="00B664AA">
      <w:pPr>
        <w:pStyle w:val="bodytext"/>
        <w:numPr>
          <w:ilvl w:val="0"/>
          <w:numId w:val="1"/>
        </w:numPr>
        <w:spacing w:before="120"/>
      </w:pPr>
      <w:r w:rsidRPr="00B664AA">
        <w:rPr>
          <w:b/>
          <w:bCs/>
        </w:rPr>
        <w:t xml:space="preserve">1999 </w:t>
      </w:r>
      <w:r w:rsidRPr="00B664AA">
        <w:t>- The Senate Committee on</w:t>
      </w:r>
      <w:r>
        <w:t xml:space="preserve"> </w:t>
      </w:r>
      <w:r w:rsidRPr="00B664AA">
        <w:t>Governmental Oversight and Productivity</w:t>
      </w:r>
      <w:r>
        <w:t xml:space="preserve"> </w:t>
      </w:r>
      <w:r w:rsidRPr="00B664AA">
        <w:t>reviewed the reorganization of the Florida</w:t>
      </w:r>
      <w:r>
        <w:t xml:space="preserve"> </w:t>
      </w:r>
      <w:r w:rsidRPr="00B664AA">
        <w:t>Cabinet structure to assess the status and</w:t>
      </w:r>
      <w:r>
        <w:t xml:space="preserve"> </w:t>
      </w:r>
      <w:r w:rsidRPr="00B664AA">
        <w:t>jurisdiction of four departments that were</w:t>
      </w:r>
      <w:r>
        <w:t xml:space="preserve"> </w:t>
      </w:r>
      <w:r w:rsidRPr="00B664AA">
        <w:t>headed by individual cabinet officers</w:t>
      </w:r>
      <w:r w:rsidR="00532E76">
        <w:rPr>
          <w:rStyle w:val="FootnoteReference"/>
        </w:rPr>
        <w:footnoteReference w:id="3"/>
      </w:r>
      <w:r w:rsidRPr="00B664AA">
        <w:t>. The</w:t>
      </w:r>
      <w:r>
        <w:t xml:space="preserve"> </w:t>
      </w:r>
      <w:r w:rsidRPr="00B664AA">
        <w:t>review proposed dismantling the</w:t>
      </w:r>
      <w:r>
        <w:t xml:space="preserve"> </w:t>
      </w:r>
      <w:r w:rsidRPr="00B664AA">
        <w:t>Department of State and redistributing its</w:t>
      </w:r>
      <w:r>
        <w:t xml:space="preserve"> </w:t>
      </w:r>
      <w:r w:rsidRPr="00B664AA">
        <w:t>programs to other agencies, including</w:t>
      </w:r>
      <w:r>
        <w:t xml:space="preserve"> </w:t>
      </w:r>
      <w:r w:rsidRPr="00B664AA">
        <w:t>merging Division of Corporations functions</w:t>
      </w:r>
      <w:r>
        <w:t xml:space="preserve"> </w:t>
      </w:r>
      <w:r w:rsidRPr="00B664AA">
        <w:t>into the Department of Business and</w:t>
      </w:r>
      <w:r>
        <w:t xml:space="preserve"> </w:t>
      </w:r>
      <w:r w:rsidRPr="00B664AA">
        <w:t>Professional Regulation.</w:t>
      </w:r>
    </w:p>
    <w:p w:rsidR="00B664AA" w:rsidRPr="00B664AA" w:rsidRDefault="00B664AA" w:rsidP="00B664AA">
      <w:pPr>
        <w:pStyle w:val="bodytext"/>
        <w:numPr>
          <w:ilvl w:val="0"/>
          <w:numId w:val="1"/>
        </w:numPr>
        <w:spacing w:before="120"/>
      </w:pPr>
      <w:r w:rsidRPr="00B664AA">
        <w:rPr>
          <w:b/>
          <w:bCs/>
        </w:rPr>
        <w:t xml:space="preserve">2003 </w:t>
      </w:r>
      <w:r w:rsidRPr="00B664AA">
        <w:t>- The Legislature considered a proposal</w:t>
      </w:r>
      <w:r>
        <w:t xml:space="preserve"> </w:t>
      </w:r>
      <w:r w:rsidRPr="00B664AA">
        <w:t>to abolish both the Department of State and</w:t>
      </w:r>
      <w:r>
        <w:t xml:space="preserve"> </w:t>
      </w:r>
      <w:r w:rsidRPr="00B664AA">
        <w:t>Department of Community Affairs to create</w:t>
      </w:r>
      <w:r>
        <w:t xml:space="preserve"> </w:t>
      </w:r>
      <w:r w:rsidRPr="00B664AA">
        <w:t>the Department of State and Community</w:t>
      </w:r>
      <w:r>
        <w:t xml:space="preserve"> </w:t>
      </w:r>
      <w:r w:rsidR="00532E76">
        <w:t>Affairs</w:t>
      </w:r>
      <w:r w:rsidR="00532E76">
        <w:rPr>
          <w:rStyle w:val="FootnoteReference"/>
        </w:rPr>
        <w:footnoteReference w:id="4"/>
      </w:r>
      <w:r w:rsidR="00532E76">
        <w:t xml:space="preserve">. </w:t>
      </w:r>
      <w:r w:rsidRPr="00B664AA">
        <w:t>The intent of this change was, in</w:t>
      </w:r>
      <w:r>
        <w:t xml:space="preserve"> </w:t>
      </w:r>
      <w:r w:rsidRPr="00B664AA">
        <w:t>part, to promote a positive business climate</w:t>
      </w:r>
      <w:r>
        <w:t xml:space="preserve"> </w:t>
      </w:r>
      <w:r w:rsidRPr="00B664AA">
        <w:t>by maintaining efficient and effective</w:t>
      </w:r>
      <w:r>
        <w:t xml:space="preserve"> </w:t>
      </w:r>
      <w:r w:rsidRPr="00B664AA">
        <w:t>business registration activities and to</w:t>
      </w:r>
      <w:r>
        <w:t xml:space="preserve"> </w:t>
      </w:r>
      <w:r w:rsidRPr="00B664AA">
        <w:t>promote the economical and efficient</w:t>
      </w:r>
      <w:r>
        <w:t xml:space="preserve"> </w:t>
      </w:r>
      <w:r w:rsidRPr="00B664AA">
        <w:t>management of public records.</w:t>
      </w:r>
    </w:p>
    <w:p w:rsidR="00B664AA" w:rsidRDefault="00B664AA" w:rsidP="00B664AA">
      <w:pPr>
        <w:pStyle w:val="bodytext"/>
        <w:numPr>
          <w:ilvl w:val="0"/>
          <w:numId w:val="1"/>
        </w:numPr>
        <w:spacing w:before="120"/>
      </w:pPr>
      <w:r w:rsidRPr="00B664AA">
        <w:rPr>
          <w:b/>
          <w:bCs/>
        </w:rPr>
        <w:t xml:space="preserve">2003 </w:t>
      </w:r>
      <w:r w:rsidRPr="00B664AA">
        <w:t>- The Governor’s Office of Policy and</w:t>
      </w:r>
      <w:r>
        <w:t xml:space="preserve"> </w:t>
      </w:r>
      <w:r w:rsidRPr="00B664AA">
        <w:t>Budget examined the feasibility of merging</w:t>
      </w:r>
      <w:r>
        <w:t xml:space="preserve"> </w:t>
      </w:r>
      <w:r w:rsidRPr="00B664AA">
        <w:t>the Division of Corporations and the</w:t>
      </w:r>
      <w:r>
        <w:t xml:space="preserve"> </w:t>
      </w:r>
      <w:r w:rsidRPr="00B664AA">
        <w:t>Department of Revenue’s General Tax</w:t>
      </w:r>
      <w:r>
        <w:t xml:space="preserve"> </w:t>
      </w:r>
      <w:r w:rsidRPr="00B664AA">
        <w:t>Administration program. The study</w:t>
      </w:r>
      <w:r>
        <w:t xml:space="preserve"> </w:t>
      </w:r>
      <w:r w:rsidRPr="00B664AA">
        <w:t>concluded that the entities had similar</w:t>
      </w:r>
      <w:r>
        <w:t xml:space="preserve"> </w:t>
      </w:r>
      <w:r w:rsidRPr="00B664AA">
        <w:t>processes, and integration or merger would</w:t>
      </w:r>
      <w:r>
        <w:t xml:space="preserve"> </w:t>
      </w:r>
      <w:r w:rsidRPr="00B664AA">
        <w:t>increase awareness of tax obligations by</w:t>
      </w:r>
      <w:r>
        <w:t xml:space="preserve"> </w:t>
      </w:r>
      <w:r w:rsidRPr="00B664AA">
        <w:t>corporations.</w:t>
      </w:r>
      <w:r>
        <w:t xml:space="preserve"> </w:t>
      </w:r>
    </w:p>
    <w:p w:rsidR="00F5168F" w:rsidRDefault="00F5168F" w:rsidP="00576AC1">
      <w:pPr>
        <w:pStyle w:val="bodytext"/>
        <w:spacing w:before="120"/>
      </w:pPr>
    </w:p>
    <w:p w:rsidR="00576AC1" w:rsidRDefault="00576AC1" w:rsidP="00576AC1">
      <w:pPr>
        <w:pStyle w:val="bodytext"/>
        <w:spacing w:before="120"/>
      </w:pPr>
      <w:r w:rsidRPr="00576AC1">
        <w:t>In 2009, the department renewed its efforts to</w:t>
      </w:r>
      <w:r>
        <w:t xml:space="preserve"> </w:t>
      </w:r>
      <w:r w:rsidRPr="00576AC1">
        <w:t>implement the act by initiating a pilot project</w:t>
      </w:r>
      <w:r>
        <w:t xml:space="preserve"> </w:t>
      </w:r>
      <w:r w:rsidRPr="00576AC1">
        <w:t>with the Department of Business and</w:t>
      </w:r>
      <w:r>
        <w:t xml:space="preserve"> </w:t>
      </w:r>
      <w:r w:rsidRPr="00576AC1">
        <w:t>Professional Regulation. The two agencies</w:t>
      </w:r>
      <w:r>
        <w:t xml:space="preserve"> </w:t>
      </w:r>
      <w:r w:rsidRPr="00576AC1">
        <w:t>agreed to share information related to licensed</w:t>
      </w:r>
      <w:r>
        <w:t xml:space="preserve"> </w:t>
      </w:r>
      <w:r w:rsidRPr="00576AC1">
        <w:t>construction businesses. The Department of</w:t>
      </w:r>
      <w:r>
        <w:t xml:space="preserve"> </w:t>
      </w:r>
      <w:r w:rsidRPr="00576AC1">
        <w:t>State has developed a master business index</w:t>
      </w:r>
      <w:r>
        <w:t xml:space="preserve"> </w:t>
      </w:r>
      <w:r w:rsidRPr="00576AC1">
        <w:t>database that the Department of Business and</w:t>
      </w:r>
      <w:r>
        <w:t xml:space="preserve"> </w:t>
      </w:r>
      <w:r w:rsidRPr="00576AC1">
        <w:t>Professional Regulation can access to obtain</w:t>
      </w:r>
      <w:r>
        <w:t xml:space="preserve"> </w:t>
      </w:r>
      <w:r w:rsidRPr="00576AC1">
        <w:t>information. As of January 2010, the database</w:t>
      </w:r>
      <w:r>
        <w:t xml:space="preserve"> </w:t>
      </w:r>
      <w:r w:rsidRPr="00576AC1">
        <w:t>had been populated with a test set of corporate</w:t>
      </w:r>
      <w:r>
        <w:t xml:space="preserve"> </w:t>
      </w:r>
      <w:r w:rsidRPr="00576AC1">
        <w:t>data, and once test protocols are completed the</w:t>
      </w:r>
      <w:r>
        <w:t xml:space="preserve"> </w:t>
      </w:r>
      <w:r w:rsidRPr="00576AC1">
        <w:t>database will be fully populated with</w:t>
      </w:r>
      <w:r>
        <w:t xml:space="preserve"> </w:t>
      </w:r>
      <w:r w:rsidRPr="00576AC1">
        <w:t>Department of State data.</w:t>
      </w:r>
      <w:r>
        <w:t xml:space="preserve"> </w:t>
      </w:r>
    </w:p>
    <w:p w:rsidR="00B02168" w:rsidRDefault="00576AC1" w:rsidP="00532E76">
      <w:pPr>
        <w:pStyle w:val="bodytext"/>
        <w:spacing w:before="120"/>
        <w:rPr>
          <w:rFonts w:ascii="Arial Black" w:hAnsi="Arial Black"/>
          <w:b/>
          <w:i/>
        </w:rPr>
      </w:pPr>
      <w:r w:rsidRPr="00576AC1">
        <w:lastRenderedPageBreak/>
        <w:t>Once completed, the database will contain</w:t>
      </w:r>
      <w:r>
        <w:t xml:space="preserve"> </w:t>
      </w:r>
      <w:r w:rsidRPr="00576AC1">
        <w:t>demographic information on entities registered</w:t>
      </w:r>
      <w:r>
        <w:t xml:space="preserve"> </w:t>
      </w:r>
      <w:r w:rsidRPr="00576AC1">
        <w:t>with the Department of State and construction</w:t>
      </w:r>
      <w:r>
        <w:t xml:space="preserve"> </w:t>
      </w:r>
      <w:r w:rsidRPr="00576AC1">
        <w:t>licensure information maintained by the</w:t>
      </w:r>
      <w:r>
        <w:t xml:space="preserve"> </w:t>
      </w:r>
      <w:r w:rsidRPr="00576AC1">
        <w:t>Department of Business and Professional</w:t>
      </w:r>
      <w:r>
        <w:t xml:space="preserve"> </w:t>
      </w:r>
      <w:r w:rsidRPr="00576AC1">
        <w:t>Regulation. This information will be searchable</w:t>
      </w:r>
      <w:r>
        <w:t xml:space="preserve"> </w:t>
      </w:r>
      <w:r w:rsidRPr="00576AC1">
        <w:t>by a single business identifier assigned to each</w:t>
      </w:r>
      <w:r>
        <w:t xml:space="preserve"> </w:t>
      </w:r>
      <w:r w:rsidRPr="00576AC1">
        <w:t>entity. The department reports that when the</w:t>
      </w:r>
      <w:r>
        <w:t xml:space="preserve"> </w:t>
      </w:r>
      <w:r w:rsidRPr="00576AC1">
        <w:t>pilot is completed, it will be able integrate</w:t>
      </w:r>
      <w:r>
        <w:t xml:space="preserve"> </w:t>
      </w:r>
      <w:r w:rsidRPr="00576AC1">
        <w:t>information from other agencies interested in</w:t>
      </w:r>
      <w:r>
        <w:t xml:space="preserve"> </w:t>
      </w:r>
      <w:r w:rsidRPr="00576AC1">
        <w:t>participating in the effort.</w:t>
      </w:r>
    </w:p>
    <w:p w:rsidR="00532E76" w:rsidRDefault="00532E76" w:rsidP="00353B57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</w:p>
    <w:p w:rsidR="00353B57" w:rsidRDefault="00353B57" w:rsidP="00353B57">
      <w:pPr>
        <w:pStyle w:val="bodytext"/>
        <w:spacing w:before="120"/>
        <w:jc w:val="left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4"/>
          <w:szCs w:val="24"/>
        </w:rPr>
        <w:t>Recommendation</w:t>
      </w:r>
    </w:p>
    <w:p w:rsidR="00B02168" w:rsidRDefault="00B02168" w:rsidP="00B02168">
      <w:pPr>
        <w:pStyle w:val="bodytext"/>
      </w:pPr>
      <w:r>
        <w:t xml:space="preserve">It is the </w:t>
      </w:r>
      <w:r w:rsidR="001968F7">
        <w:t>recommendation of the Joint Sunset Committee</w:t>
      </w:r>
      <w:r w:rsidR="00357F24">
        <w:t xml:space="preserve"> that</w:t>
      </w:r>
      <w:r w:rsidR="001968F7">
        <w:t xml:space="preserve"> the Legislature pursues</w:t>
      </w:r>
      <w:r w:rsidR="00F5168F">
        <w:t xml:space="preserve"> using the Single Business Identifier/Master Business Index</w:t>
      </w:r>
      <w:r w:rsidR="001968F7">
        <w:t>. T</w:t>
      </w:r>
      <w:r w:rsidR="00F5168F">
        <w:t xml:space="preserve">he </w:t>
      </w:r>
      <w:r>
        <w:t>Legislature</w:t>
      </w:r>
      <w:r w:rsidR="001968F7">
        <w:t xml:space="preserve"> should </w:t>
      </w:r>
      <w:r w:rsidR="00F5168F">
        <w:t>create a task force that would include,</w:t>
      </w:r>
      <w:r>
        <w:t xml:space="preserve"> at a minimum, the Department of State, the Department of Business and Professional Regulation</w:t>
      </w:r>
      <w:r w:rsidR="008224AB">
        <w:t>,</w:t>
      </w:r>
      <w:r w:rsidR="00E60AE0">
        <w:t xml:space="preserve"> </w:t>
      </w:r>
      <w:r>
        <w:t>the Department of Revenue</w:t>
      </w:r>
      <w:r w:rsidR="008224AB">
        <w:t xml:space="preserve"> and the Agency for Enterprise Information Technology</w:t>
      </w:r>
      <w:r w:rsidR="00F5168F">
        <w:t xml:space="preserve"> </w:t>
      </w:r>
      <w:r w:rsidR="001968F7">
        <w:t xml:space="preserve">to </w:t>
      </w:r>
      <w:r w:rsidR="00F5168F">
        <w:t xml:space="preserve">formulate and </w:t>
      </w:r>
      <w:r w:rsidR="001968F7">
        <w:t xml:space="preserve">propose an </w:t>
      </w:r>
      <w:r w:rsidR="00F5168F">
        <w:t>implementation plan for state agencies to use the S</w:t>
      </w:r>
      <w:r w:rsidR="00035444">
        <w:t>B</w:t>
      </w:r>
      <w:r w:rsidR="00F5168F">
        <w:t>I/MBI. The plan will outline</w:t>
      </w:r>
      <w:r w:rsidR="00035444">
        <w:t xml:space="preserve">, but is not limited to, </w:t>
      </w:r>
      <w:r w:rsidR="00F5168F">
        <w:t>how the</w:t>
      </w:r>
      <w:r w:rsidR="00035444">
        <w:t xml:space="preserve"> SBI/MBI will be administer</w:t>
      </w:r>
      <w:r w:rsidR="00357F24">
        <w:t>ed</w:t>
      </w:r>
      <w:r w:rsidR="00035444">
        <w:t xml:space="preserve">, who will maintain the data, how the information will </w:t>
      </w:r>
      <w:proofErr w:type="gramStart"/>
      <w:r w:rsidR="00035444">
        <w:t>made</w:t>
      </w:r>
      <w:proofErr w:type="gramEnd"/>
      <w:r w:rsidR="00035444">
        <w:t xml:space="preserve"> available to the public and indentify other agenci</w:t>
      </w:r>
      <w:r w:rsidR="001968F7">
        <w:t>es who can utilize the SBI/MBI.</w:t>
      </w:r>
    </w:p>
    <w:sectPr w:rsidR="00B02168" w:rsidSect="00211C90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E0" w:rsidRDefault="00E60AE0" w:rsidP="00353B57">
      <w:r>
        <w:separator/>
      </w:r>
    </w:p>
  </w:endnote>
  <w:endnote w:type="continuationSeparator" w:id="0">
    <w:p w:rsidR="00E60AE0" w:rsidRDefault="00E60AE0" w:rsidP="00353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pfCalligraphic80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E0" w:rsidRDefault="00E60AE0" w:rsidP="00353B57">
      <w:r>
        <w:separator/>
      </w:r>
    </w:p>
  </w:footnote>
  <w:footnote w:type="continuationSeparator" w:id="0">
    <w:p w:rsidR="00E60AE0" w:rsidRDefault="00E60AE0" w:rsidP="00353B57">
      <w:r>
        <w:continuationSeparator/>
      </w:r>
    </w:p>
  </w:footnote>
  <w:footnote w:id="1">
    <w:p w:rsidR="00E60AE0" w:rsidRDefault="00E60A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3B57">
        <w:t>Chapter 97-15, Laws of Florida.</w:t>
      </w:r>
    </w:p>
  </w:footnote>
  <w:footnote w:id="2">
    <w:p w:rsidR="00E60AE0" w:rsidRDefault="00E60AE0" w:rsidP="00353B57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</w:t>
      </w:r>
      <w:r w:rsidRPr="00353B57">
        <w:t>Section 606.03(4), F.S., defines “participating agency” as an agency</w:t>
      </w:r>
      <w:r>
        <w:t xml:space="preserve"> </w:t>
      </w:r>
      <w:r w:rsidRPr="00353B57">
        <w:t>of government, which elects to participate in the</w:t>
      </w:r>
      <w:r>
        <w:t xml:space="preserve"> </w:t>
      </w:r>
      <w:r w:rsidRPr="00353B57">
        <w:t>exchange of</w:t>
      </w:r>
      <w:r>
        <w:t xml:space="preserve"> </w:t>
      </w:r>
      <w:r w:rsidRPr="00353B57">
        <w:t>information through the master business index.</w:t>
      </w:r>
    </w:p>
  </w:footnote>
  <w:footnote w:id="3">
    <w:p w:rsidR="00E60AE0" w:rsidRDefault="00E60AE0" w:rsidP="00532E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2E76">
        <w:t>These agencies included the Department of Banking and Finance,</w:t>
      </w:r>
      <w:r>
        <w:t xml:space="preserve"> </w:t>
      </w:r>
      <w:r w:rsidRPr="00532E76">
        <w:t>the Department of Education, the Department of Insurance, and</w:t>
      </w:r>
      <w:r>
        <w:t xml:space="preserve"> </w:t>
      </w:r>
      <w:r w:rsidRPr="00532E76">
        <w:t>the Department of State</w:t>
      </w:r>
    </w:p>
  </w:footnote>
  <w:footnote w:id="4">
    <w:p w:rsidR="00E60AE0" w:rsidRDefault="00E60A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532E76">
        <w:t>House Bill 1687 – Governmental Reorganization.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79A2"/>
    <w:multiLevelType w:val="hybridMultilevel"/>
    <w:tmpl w:val="33080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C90"/>
    <w:rsid w:val="000259C9"/>
    <w:rsid w:val="00035444"/>
    <w:rsid w:val="00137989"/>
    <w:rsid w:val="001416FC"/>
    <w:rsid w:val="001968F7"/>
    <w:rsid w:val="001D3AE6"/>
    <w:rsid w:val="00211C90"/>
    <w:rsid w:val="00254648"/>
    <w:rsid w:val="00353B57"/>
    <w:rsid w:val="00356CFD"/>
    <w:rsid w:val="00357F24"/>
    <w:rsid w:val="003715E4"/>
    <w:rsid w:val="004B68C7"/>
    <w:rsid w:val="00507FE6"/>
    <w:rsid w:val="00532E76"/>
    <w:rsid w:val="00576AC1"/>
    <w:rsid w:val="00707A8B"/>
    <w:rsid w:val="00790DA5"/>
    <w:rsid w:val="007D3E57"/>
    <w:rsid w:val="008224AB"/>
    <w:rsid w:val="00843785"/>
    <w:rsid w:val="00937139"/>
    <w:rsid w:val="00A1044A"/>
    <w:rsid w:val="00B02168"/>
    <w:rsid w:val="00B40087"/>
    <w:rsid w:val="00B664AA"/>
    <w:rsid w:val="00C76985"/>
    <w:rsid w:val="00CA7F9E"/>
    <w:rsid w:val="00D57CDE"/>
    <w:rsid w:val="00D94F48"/>
    <w:rsid w:val="00DF1238"/>
    <w:rsid w:val="00E1049A"/>
    <w:rsid w:val="00E60AE0"/>
    <w:rsid w:val="00EB39F2"/>
    <w:rsid w:val="00EE1582"/>
    <w:rsid w:val="00F5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link w:val="bodytextChar1"/>
    <w:rsid w:val="00211C90"/>
    <w:pPr>
      <w:tabs>
        <w:tab w:val="left" w:pos="9000"/>
      </w:tabs>
      <w:spacing w:after="120"/>
      <w:jc w:val="both"/>
    </w:pPr>
    <w:rPr>
      <w:rFonts w:ascii="ZapfCalligr BT" w:eastAsia="Times New Roman" w:hAnsi="ZapfCalligr BT" w:cs="Times New Roman"/>
      <w:sz w:val="22"/>
      <w:szCs w:val="20"/>
    </w:rPr>
  </w:style>
  <w:style w:type="character" w:customStyle="1" w:styleId="bodytextChar1">
    <w:name w:val="body text Char1"/>
    <w:basedOn w:val="DefaultParagraphFont"/>
    <w:link w:val="bodytext"/>
    <w:rsid w:val="00211C90"/>
    <w:rPr>
      <w:rFonts w:ascii="ZapfCalligr BT" w:eastAsia="Times New Roman" w:hAnsi="ZapfCalligr BT" w:cs="Times New Roman"/>
      <w:sz w:val="22"/>
      <w:szCs w:val="20"/>
    </w:rPr>
  </w:style>
  <w:style w:type="character" w:styleId="Emphasis">
    <w:name w:val="Emphasis"/>
    <w:qFormat/>
    <w:rsid w:val="00211C90"/>
    <w:rPr>
      <w:rFonts w:ascii="Arial Black" w:hAnsi="Arial Black"/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3B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3B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3B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B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B5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958BD-BDA6-42D1-852C-8F5D7DE1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FRANCIS.DAVID</dc:creator>
  <cp:keywords/>
  <dc:description/>
  <cp:lastModifiedBy>FRANCIS.DAVID</cp:lastModifiedBy>
  <cp:revision>13</cp:revision>
  <cp:lastPrinted>2010-02-11T15:50:00Z</cp:lastPrinted>
  <dcterms:created xsi:type="dcterms:W3CDTF">2010-02-09T14:11:00Z</dcterms:created>
  <dcterms:modified xsi:type="dcterms:W3CDTF">2010-02-11T16:20:00Z</dcterms:modified>
</cp:coreProperties>
</file>