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276DFA" w:rsidRPr="009A10F2" w:rsidTr="008D4FEF">
        <w:trPr>
          <w:cantSplit/>
        </w:trPr>
        <w:tc>
          <w:tcPr>
            <w:tcW w:w="5000" w:type="pct"/>
            <w:gridSpan w:val="3"/>
            <w:shd w:val="pct10" w:color="auto" w:fill="auto"/>
          </w:tcPr>
          <w:p w:rsidR="00276DFA" w:rsidRPr="009A10F2" w:rsidRDefault="00276DFA" w:rsidP="0049276F">
            <w:pPr>
              <w:spacing w:beforeLines="60" w:afterLines="60"/>
              <w:jc w:val="center"/>
              <w:rPr>
                <w:rFonts w:ascii="Verdana" w:hAnsi="Verdana" w:cs="Arial"/>
                <w:b/>
                <w:sz w:val="20"/>
                <w:szCs w:val="20"/>
              </w:rPr>
            </w:pPr>
            <w:r w:rsidRPr="009A10F2">
              <w:rPr>
                <w:rFonts w:ascii="Verdana" w:hAnsi="Verdana" w:cs="Arial"/>
                <w:b/>
              </w:rPr>
              <w:t>Department of Community Affairs</w:t>
            </w:r>
          </w:p>
        </w:tc>
      </w:tr>
      <w:tr w:rsidR="008D4FEF" w:rsidRPr="009A10F2" w:rsidTr="00925661">
        <w:trPr>
          <w:cantSplit/>
        </w:trPr>
        <w:tc>
          <w:tcPr>
            <w:tcW w:w="5000" w:type="pct"/>
            <w:gridSpan w:val="3"/>
            <w:tcBorders>
              <w:bottom w:val="single" w:sz="4" w:space="0" w:color="auto"/>
            </w:tcBorders>
            <w:shd w:val="clear" w:color="auto" w:fill="auto"/>
          </w:tcPr>
          <w:p w:rsidR="00D76511" w:rsidRPr="009A10F2" w:rsidRDefault="008D4FEF" w:rsidP="0049276F">
            <w:pPr>
              <w:spacing w:beforeLines="60" w:afterLines="60"/>
              <w:ind w:left="360"/>
              <w:rPr>
                <w:rFonts w:ascii="Verdana" w:hAnsi="Verdana" w:cs="Arial"/>
                <w:b/>
                <w:sz w:val="20"/>
                <w:szCs w:val="20"/>
              </w:rPr>
            </w:pPr>
            <w:r w:rsidRPr="008D4FEF">
              <w:rPr>
                <w:rFonts w:ascii="Verdana" w:hAnsi="Verdana" w:cs="Arial"/>
                <w:sz w:val="20"/>
                <w:szCs w:val="20"/>
              </w:rPr>
              <w:t>The Department of Community Affairs</w:t>
            </w:r>
            <w:r w:rsidR="00FC2453">
              <w:rPr>
                <w:rFonts w:ascii="Verdana" w:hAnsi="Verdana" w:cs="Arial"/>
                <w:sz w:val="20"/>
                <w:szCs w:val="20"/>
              </w:rPr>
              <w:t>’</w:t>
            </w:r>
            <w:r w:rsidRPr="008D4FEF">
              <w:rPr>
                <w:rFonts w:ascii="Verdana" w:hAnsi="Verdana" w:cs="Arial"/>
                <w:sz w:val="20"/>
                <w:szCs w:val="20"/>
              </w:rPr>
              <w:t xml:space="preserve"> mission is to “meet the needs of Floridians’ by investing in communities and working with them to plan and manage growth.”</w:t>
            </w:r>
            <w:r w:rsidR="00D76511">
              <w:rPr>
                <w:rFonts w:ascii="Verdana" w:hAnsi="Verdana" w:cs="Arial"/>
                <w:sz w:val="20"/>
                <w:szCs w:val="20"/>
              </w:rPr>
              <w:t xml:space="preserve">  </w:t>
            </w:r>
            <w:r>
              <w:rPr>
                <w:rFonts w:ascii="Verdana" w:hAnsi="Verdana" w:cs="Arial"/>
                <w:sz w:val="20"/>
                <w:szCs w:val="20"/>
              </w:rPr>
              <w:t xml:space="preserve">The Secretary of the department is appointed by the Governor and confirmed by the Senate.  The department is designated by law as the state’s land planning agency, and </w:t>
            </w:r>
            <w:r w:rsidR="00FC2453">
              <w:rPr>
                <w:rFonts w:ascii="Verdana" w:hAnsi="Verdana" w:cs="Arial"/>
                <w:sz w:val="20"/>
                <w:szCs w:val="20"/>
              </w:rPr>
              <w:t xml:space="preserve">includes </w:t>
            </w:r>
            <w:r>
              <w:rPr>
                <w:rFonts w:ascii="Verdana" w:hAnsi="Verdana" w:cs="Arial"/>
                <w:sz w:val="20"/>
                <w:szCs w:val="20"/>
              </w:rPr>
              <w:t xml:space="preserve">the Division of Community Planning </w:t>
            </w:r>
            <w:r w:rsidR="00FC2453">
              <w:rPr>
                <w:rFonts w:ascii="Verdana" w:hAnsi="Verdana" w:cs="Arial"/>
                <w:sz w:val="20"/>
                <w:szCs w:val="20"/>
              </w:rPr>
              <w:t xml:space="preserve">and </w:t>
            </w:r>
            <w:r>
              <w:rPr>
                <w:rFonts w:ascii="Verdana" w:hAnsi="Verdana" w:cs="Arial"/>
                <w:sz w:val="20"/>
                <w:szCs w:val="20"/>
              </w:rPr>
              <w:t>the Division of Housing and Community Development</w:t>
            </w:r>
            <w:r w:rsidR="00FC2453">
              <w:rPr>
                <w:rFonts w:ascii="Verdana" w:hAnsi="Verdana" w:cs="Arial"/>
                <w:sz w:val="20"/>
                <w:szCs w:val="20"/>
              </w:rPr>
              <w:t>.</w:t>
            </w:r>
            <w:r>
              <w:rPr>
                <w:rFonts w:ascii="Verdana" w:hAnsi="Verdana" w:cs="Arial"/>
                <w:sz w:val="20"/>
                <w:szCs w:val="20"/>
              </w:rPr>
              <w:t xml:space="preserve"> </w:t>
            </w:r>
            <w:r w:rsidR="00FC2453">
              <w:rPr>
                <w:rFonts w:ascii="Verdana" w:hAnsi="Verdana" w:cs="Arial"/>
                <w:sz w:val="20"/>
                <w:szCs w:val="20"/>
              </w:rPr>
              <w:t xml:space="preserve">The Department also provides administrative, legal and inspector general services to the </w:t>
            </w:r>
            <w:r>
              <w:rPr>
                <w:rFonts w:ascii="Verdana" w:hAnsi="Verdana" w:cs="Arial"/>
                <w:sz w:val="20"/>
                <w:szCs w:val="20"/>
              </w:rPr>
              <w:t xml:space="preserve">Division of Emergency Management.  </w:t>
            </w:r>
          </w:p>
        </w:tc>
      </w:tr>
      <w:tr w:rsidR="003E4710" w:rsidRPr="009A10F2" w:rsidTr="00925661">
        <w:trPr>
          <w:cantSplit/>
        </w:trPr>
        <w:tc>
          <w:tcPr>
            <w:tcW w:w="5000" w:type="pct"/>
            <w:gridSpan w:val="3"/>
            <w:tcBorders>
              <w:bottom w:val="single" w:sz="4" w:space="0" w:color="auto"/>
            </w:tcBorders>
            <w:shd w:val="pct10" w:color="auto" w:fill="auto"/>
          </w:tcPr>
          <w:p w:rsidR="00D76511" w:rsidRDefault="003E4710" w:rsidP="0049276F">
            <w:pPr>
              <w:spacing w:beforeLines="60" w:afterLines="60"/>
              <w:ind w:left="360"/>
              <w:rPr>
                <w:rFonts w:ascii="Verdana" w:hAnsi="Verdana" w:cs="Arial"/>
                <w:sz w:val="20"/>
                <w:szCs w:val="20"/>
              </w:rPr>
            </w:pPr>
            <w:r w:rsidRPr="009A10F2">
              <w:rPr>
                <w:rFonts w:ascii="Verdana" w:hAnsi="Verdana" w:cs="Arial"/>
                <w:b/>
                <w:sz w:val="20"/>
                <w:szCs w:val="20"/>
              </w:rPr>
              <w:t xml:space="preserve">Community Planning  </w:t>
            </w:r>
            <w:r w:rsidR="00F87A69" w:rsidRPr="0024589C">
              <w:rPr>
                <w:rFonts w:ascii="Verdana" w:hAnsi="Verdana" w:cs="Arial"/>
                <w:sz w:val="20"/>
                <w:szCs w:val="20"/>
              </w:rPr>
              <w:t>Appropriation:  $7</w:t>
            </w:r>
            <w:r w:rsidRPr="0024589C">
              <w:rPr>
                <w:rFonts w:ascii="Verdana" w:hAnsi="Verdana" w:cs="Arial"/>
                <w:sz w:val="20"/>
                <w:szCs w:val="20"/>
              </w:rPr>
              <w:t>.</w:t>
            </w:r>
            <w:r w:rsidR="00833A17" w:rsidRPr="0024589C">
              <w:rPr>
                <w:rFonts w:ascii="Verdana" w:hAnsi="Verdana" w:cs="Arial"/>
                <w:sz w:val="20"/>
                <w:szCs w:val="20"/>
              </w:rPr>
              <w:t xml:space="preserve">7 </w:t>
            </w:r>
            <w:r w:rsidRPr="0024589C">
              <w:rPr>
                <w:rFonts w:ascii="Verdana" w:hAnsi="Verdana" w:cs="Arial"/>
                <w:sz w:val="20"/>
                <w:szCs w:val="20"/>
              </w:rPr>
              <w:t>million, 61 FTE</w:t>
            </w:r>
            <w:r w:rsidR="00220CE6" w:rsidRPr="009A10F2">
              <w:rPr>
                <w:rFonts w:ascii="Verdana" w:hAnsi="Verdana" w:cs="Arial"/>
                <w:sz w:val="20"/>
                <w:szCs w:val="20"/>
              </w:rPr>
              <w:t xml:space="preserve"> </w:t>
            </w:r>
          </w:p>
          <w:p w:rsidR="00D76511" w:rsidRPr="009A10F2" w:rsidRDefault="00951B61" w:rsidP="0049276F">
            <w:pPr>
              <w:spacing w:beforeLines="60" w:afterLines="60"/>
              <w:ind w:left="360"/>
              <w:rPr>
                <w:rFonts w:ascii="Verdana" w:hAnsi="Verdana" w:cs="Arial"/>
                <w:sz w:val="20"/>
                <w:szCs w:val="20"/>
              </w:rPr>
            </w:pPr>
            <w:r w:rsidRPr="009A10F2">
              <w:rPr>
                <w:rFonts w:ascii="Verdana" w:hAnsi="Verdana" w:cs="Arial"/>
                <w:sz w:val="20"/>
                <w:szCs w:val="20"/>
              </w:rPr>
              <w:t>The Division of Community Planning oversees comprehensive land use planning in Florida; ensures that local government comprehensive plans meet statutory standards; and works with local governments to implement their growth management programs.</w:t>
            </w:r>
          </w:p>
        </w:tc>
      </w:tr>
      <w:tr w:rsidR="00940AE5" w:rsidRPr="009A10F2" w:rsidTr="0020293E">
        <w:trPr>
          <w:trHeight w:val="20"/>
        </w:trPr>
        <w:tc>
          <w:tcPr>
            <w:tcW w:w="314" w:type="pct"/>
            <w:shd w:val="clear" w:color="auto" w:fill="auto"/>
          </w:tcPr>
          <w:p w:rsidR="00940AE5" w:rsidRPr="009A10F2" w:rsidRDefault="00940AE5" w:rsidP="0049276F">
            <w:pPr>
              <w:spacing w:beforeLines="60" w:afterLines="60"/>
              <w:jc w:val="center"/>
              <w:rPr>
                <w:rFonts w:ascii="Verdana" w:hAnsi="Verdana" w:cs="Arial"/>
                <w:sz w:val="16"/>
                <w:szCs w:val="16"/>
              </w:rPr>
            </w:pPr>
          </w:p>
        </w:tc>
        <w:tc>
          <w:tcPr>
            <w:tcW w:w="380" w:type="pct"/>
            <w:shd w:val="clear" w:color="auto" w:fill="auto"/>
          </w:tcPr>
          <w:p w:rsidR="00940AE5" w:rsidRPr="009A10F2" w:rsidRDefault="00276DFA"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Borders>
              <w:bottom w:val="nil"/>
            </w:tcBorders>
            <w:shd w:val="clear" w:color="auto" w:fill="auto"/>
          </w:tcPr>
          <w:p w:rsidR="00D76511" w:rsidRDefault="00940AE5" w:rsidP="0049276F">
            <w:pPr>
              <w:spacing w:beforeLines="60" w:afterLines="60"/>
              <w:ind w:left="360"/>
              <w:rPr>
                <w:rFonts w:ascii="Verdana" w:hAnsi="Verdana" w:cs="Arial"/>
                <w:b/>
                <w:sz w:val="20"/>
                <w:szCs w:val="20"/>
              </w:rPr>
            </w:pPr>
            <w:r w:rsidRPr="009A10F2">
              <w:rPr>
                <w:rFonts w:ascii="Verdana" w:hAnsi="Verdana" w:cs="Arial"/>
                <w:b/>
                <w:sz w:val="20"/>
                <w:szCs w:val="20"/>
              </w:rPr>
              <w:t xml:space="preserve">Local Government Comprehensive Planning and  </w:t>
            </w:r>
            <w:r w:rsidR="00A0661D">
              <w:rPr>
                <w:rFonts w:ascii="Verdana" w:hAnsi="Verdana" w:cs="Arial"/>
                <w:b/>
                <w:sz w:val="20"/>
                <w:szCs w:val="20"/>
              </w:rPr>
              <w:t xml:space="preserve">Land </w:t>
            </w:r>
            <w:r w:rsidRPr="009A10F2">
              <w:rPr>
                <w:rFonts w:ascii="Verdana" w:hAnsi="Verdana" w:cs="Arial"/>
                <w:b/>
                <w:sz w:val="20"/>
                <w:szCs w:val="20"/>
              </w:rPr>
              <w:t xml:space="preserve">Development Regulation Act </w:t>
            </w:r>
          </w:p>
          <w:p w:rsidR="00A81663" w:rsidRDefault="000E62D1" w:rsidP="0049276F">
            <w:pPr>
              <w:spacing w:beforeLines="60" w:afterLines="60"/>
              <w:ind w:left="360"/>
              <w:rPr>
                <w:rFonts w:ascii="Verdana" w:hAnsi="Verdana"/>
                <w:sz w:val="20"/>
                <w:szCs w:val="20"/>
              </w:rPr>
            </w:pPr>
            <w:r w:rsidRPr="009A10F2">
              <w:rPr>
                <w:rFonts w:ascii="Verdana" w:hAnsi="Verdana"/>
                <w:sz w:val="20"/>
                <w:szCs w:val="20"/>
              </w:rPr>
              <w:t>Requires all of Florida's 67 counties and 410 municipalities to adopt Local Government Comprehensive Plans that guide future growth and development. Comprehensive plans contain chapters or "elements" that address future land use, housing, transportation, infrastructure, coastal management, conservation, recreation and open space, intergovernmental coordination, and capital improvements.</w:t>
            </w:r>
            <w:r w:rsidR="00A81663">
              <w:rPr>
                <w:rFonts w:ascii="Verdana" w:hAnsi="Verdana"/>
                <w:sz w:val="20"/>
                <w:szCs w:val="20"/>
              </w:rPr>
              <w:t xml:space="preserve"> A key component of the Act is its “concurrency” provision that requires facilities and services to be available concurrent with the impacts of the development.</w:t>
            </w:r>
            <w:r w:rsidRPr="009A10F2">
              <w:rPr>
                <w:rFonts w:ascii="Verdana" w:hAnsi="Verdana"/>
                <w:sz w:val="20"/>
                <w:szCs w:val="20"/>
              </w:rPr>
              <w:t xml:space="preserve"> </w:t>
            </w:r>
          </w:p>
          <w:p w:rsidR="00940AE5" w:rsidRDefault="00951B61" w:rsidP="0049276F">
            <w:pPr>
              <w:spacing w:beforeLines="60" w:afterLines="60"/>
              <w:ind w:left="360"/>
              <w:rPr>
                <w:rFonts w:ascii="Verdana" w:hAnsi="Verdana" w:cs="Arial"/>
                <w:sz w:val="20"/>
                <w:szCs w:val="20"/>
              </w:rPr>
            </w:pPr>
            <w:r w:rsidRPr="009A10F2">
              <w:rPr>
                <w:rFonts w:ascii="Verdana" w:hAnsi="Verdana" w:cs="Arial"/>
                <w:sz w:val="20"/>
                <w:szCs w:val="20"/>
              </w:rPr>
              <w:t>The division</w:t>
            </w:r>
            <w:r w:rsidR="0096734F" w:rsidRPr="009A10F2">
              <w:rPr>
                <w:rFonts w:ascii="Verdana" w:hAnsi="Verdana" w:cs="Arial"/>
                <w:sz w:val="20"/>
                <w:szCs w:val="20"/>
              </w:rPr>
              <w:t xml:space="preserve"> </w:t>
            </w:r>
            <w:r w:rsidR="00472AAE">
              <w:rPr>
                <w:rFonts w:ascii="Verdana" w:hAnsi="Verdana" w:cs="Arial"/>
                <w:sz w:val="20"/>
                <w:szCs w:val="20"/>
              </w:rPr>
              <w:t>receives</w:t>
            </w:r>
            <w:r w:rsidR="00A0661D">
              <w:rPr>
                <w:rFonts w:ascii="Verdana" w:hAnsi="Verdana" w:cs="Arial"/>
                <w:sz w:val="20"/>
                <w:szCs w:val="20"/>
              </w:rPr>
              <w:t xml:space="preserve"> </w:t>
            </w:r>
            <w:r w:rsidR="0096734F" w:rsidRPr="009A10F2">
              <w:rPr>
                <w:rFonts w:ascii="Verdana" w:hAnsi="Verdana" w:cs="Arial"/>
                <w:sz w:val="20"/>
                <w:szCs w:val="20"/>
              </w:rPr>
              <w:t xml:space="preserve">comments from state </w:t>
            </w:r>
            <w:r w:rsidR="00472AAE">
              <w:rPr>
                <w:rFonts w:ascii="Verdana" w:hAnsi="Verdana" w:cs="Arial"/>
                <w:sz w:val="20"/>
                <w:szCs w:val="20"/>
              </w:rPr>
              <w:t>and regional</w:t>
            </w:r>
            <w:r w:rsidR="00472AAE" w:rsidRPr="009A10F2">
              <w:rPr>
                <w:rFonts w:ascii="Verdana" w:hAnsi="Verdana" w:cs="Arial"/>
                <w:sz w:val="20"/>
                <w:szCs w:val="20"/>
              </w:rPr>
              <w:t xml:space="preserve"> agencies</w:t>
            </w:r>
            <w:r w:rsidR="0096734F" w:rsidRPr="009A10F2">
              <w:rPr>
                <w:rFonts w:ascii="Verdana" w:hAnsi="Verdana" w:cs="Arial"/>
                <w:sz w:val="20"/>
                <w:szCs w:val="20"/>
              </w:rPr>
              <w:t xml:space="preserve"> and </w:t>
            </w:r>
            <w:r w:rsidR="00472AAE">
              <w:rPr>
                <w:rFonts w:ascii="Verdana" w:hAnsi="Verdana" w:cs="Arial"/>
                <w:sz w:val="20"/>
                <w:szCs w:val="20"/>
              </w:rPr>
              <w:t>produces a review of proposed comprehensive plans and plan amendments.</w:t>
            </w:r>
            <w:r w:rsidRPr="009A10F2">
              <w:rPr>
                <w:rFonts w:ascii="Verdana" w:hAnsi="Verdana" w:cs="Arial"/>
                <w:sz w:val="20"/>
                <w:szCs w:val="20"/>
              </w:rPr>
              <w:t xml:space="preserve">  Challenges to </w:t>
            </w:r>
            <w:r w:rsidR="00472AAE">
              <w:rPr>
                <w:rFonts w:ascii="Verdana" w:hAnsi="Verdana" w:cs="Arial"/>
                <w:sz w:val="20"/>
                <w:szCs w:val="20"/>
              </w:rPr>
              <w:t xml:space="preserve">comprehensive </w:t>
            </w:r>
            <w:r w:rsidRPr="009A10F2">
              <w:rPr>
                <w:rFonts w:ascii="Verdana" w:hAnsi="Verdana" w:cs="Arial"/>
                <w:sz w:val="20"/>
                <w:szCs w:val="20"/>
              </w:rPr>
              <w:t>plan</w:t>
            </w:r>
            <w:r w:rsidR="00472AAE">
              <w:rPr>
                <w:rFonts w:ascii="Verdana" w:hAnsi="Verdana" w:cs="Arial"/>
                <w:sz w:val="20"/>
                <w:szCs w:val="20"/>
              </w:rPr>
              <w:t>s</w:t>
            </w:r>
            <w:r w:rsidRPr="009A10F2">
              <w:rPr>
                <w:rFonts w:ascii="Verdana" w:hAnsi="Verdana" w:cs="Arial"/>
                <w:sz w:val="20"/>
                <w:szCs w:val="20"/>
              </w:rPr>
              <w:t xml:space="preserve"> </w:t>
            </w:r>
            <w:r w:rsidR="00AB30F5">
              <w:rPr>
                <w:rFonts w:ascii="Verdana" w:hAnsi="Verdana" w:cs="Arial"/>
                <w:sz w:val="20"/>
                <w:szCs w:val="20"/>
              </w:rPr>
              <w:t xml:space="preserve">or plan </w:t>
            </w:r>
            <w:r w:rsidRPr="009A10F2">
              <w:rPr>
                <w:rFonts w:ascii="Verdana" w:hAnsi="Verdana" w:cs="Arial"/>
                <w:sz w:val="20"/>
                <w:szCs w:val="20"/>
              </w:rPr>
              <w:t>amendment</w:t>
            </w:r>
            <w:r w:rsidR="00AB30F5">
              <w:rPr>
                <w:rFonts w:ascii="Verdana" w:hAnsi="Verdana" w:cs="Arial"/>
                <w:sz w:val="20"/>
                <w:szCs w:val="20"/>
              </w:rPr>
              <w:t>s</w:t>
            </w:r>
            <w:r w:rsidRPr="009A10F2">
              <w:rPr>
                <w:rFonts w:ascii="Verdana" w:hAnsi="Verdana" w:cs="Arial"/>
                <w:sz w:val="20"/>
                <w:szCs w:val="20"/>
              </w:rPr>
              <w:t xml:space="preserve"> are referred to the state’s Division of Administrative Hearings.</w:t>
            </w:r>
          </w:p>
          <w:p w:rsidR="0020293E" w:rsidRDefault="0020293E" w:rsidP="0049276F">
            <w:pPr>
              <w:spacing w:beforeLines="60" w:afterLines="60"/>
              <w:ind w:left="360"/>
              <w:rPr>
                <w:rFonts w:ascii="Verdana" w:hAnsi="Verdana" w:cs="Arial"/>
                <w:sz w:val="20"/>
                <w:szCs w:val="20"/>
              </w:rPr>
            </w:pPr>
            <w:r w:rsidRPr="00D76511">
              <w:rPr>
                <w:rFonts w:ascii="Verdana" w:hAnsi="Verdana" w:cs="Arial"/>
                <w:i/>
                <w:sz w:val="20"/>
                <w:szCs w:val="20"/>
              </w:rPr>
              <w:t>FY 2008-09:</w:t>
            </w:r>
            <w:r>
              <w:rPr>
                <w:rFonts w:ascii="Verdana" w:hAnsi="Verdana" w:cs="Arial"/>
                <w:sz w:val="20"/>
                <w:szCs w:val="20"/>
              </w:rPr>
              <w:t xml:space="preserve">  </w:t>
            </w:r>
            <w:r>
              <w:rPr>
                <w:rFonts w:ascii="Verdana" w:hAnsi="Verdana" w:cs="Arial"/>
                <w:i/>
                <w:sz w:val="20"/>
                <w:szCs w:val="20"/>
              </w:rPr>
              <w:t xml:space="preserve">Performance measures: </w:t>
            </w:r>
            <w:r>
              <w:rPr>
                <w:rFonts w:ascii="Verdana" w:hAnsi="Verdana" w:cs="Arial"/>
                <w:sz w:val="20"/>
                <w:szCs w:val="20"/>
              </w:rPr>
              <w:t>1,416 plan amendment packages reviewed; 93% of amendment packages determined to be in compliance with Growth Management Act.</w:t>
            </w:r>
          </w:p>
          <w:p w:rsidR="0020293E" w:rsidRDefault="0020293E" w:rsidP="0049276F">
            <w:pPr>
              <w:spacing w:beforeLines="60" w:afterLines="60"/>
              <w:ind w:left="360"/>
              <w:rPr>
                <w:rFonts w:ascii="Verdana" w:hAnsi="Verdana" w:cs="Arial"/>
                <w:sz w:val="20"/>
                <w:szCs w:val="20"/>
              </w:rPr>
            </w:pPr>
            <w:r w:rsidRPr="003D5A81">
              <w:rPr>
                <w:rFonts w:ascii="Verdana" w:hAnsi="Verdana" w:cs="Arial"/>
                <w:b/>
                <w:sz w:val="20"/>
                <w:szCs w:val="20"/>
              </w:rPr>
              <w:t>Alternative State Review Process Pilot Program</w:t>
            </w:r>
            <w:r>
              <w:rPr>
                <w:rFonts w:ascii="Verdana" w:hAnsi="Verdana" w:cs="Arial"/>
                <w:sz w:val="20"/>
                <w:szCs w:val="20"/>
              </w:rPr>
              <w:t xml:space="preserve"> – created in 2007 the program is intended to provide an expedited process for comprehensive plan amendment review for Pinellas and Broward counties, their municipalities, and the Cities of Jacksonville, Miami, Tampa, and Hialeah.  In this program, time frames for review are accelerated, there is no unified state report, and the state does not publish a notice of intent.</w:t>
            </w:r>
          </w:p>
          <w:p w:rsidR="0020293E" w:rsidRPr="009A10F2" w:rsidRDefault="0020293E" w:rsidP="0049276F">
            <w:pPr>
              <w:spacing w:beforeLines="60" w:afterLines="60"/>
              <w:ind w:left="360"/>
              <w:rPr>
                <w:rFonts w:ascii="Verdana" w:hAnsi="Verdana" w:cs="Arial"/>
                <w:sz w:val="20"/>
                <w:szCs w:val="20"/>
              </w:rPr>
            </w:pPr>
            <w:r w:rsidRPr="004366B8">
              <w:rPr>
                <w:rFonts w:ascii="Verdana" w:hAnsi="Verdana" w:cs="Arial"/>
                <w:b/>
                <w:sz w:val="20"/>
                <w:szCs w:val="20"/>
              </w:rPr>
              <w:t>Local Government Comprehensive Planning Certification Program</w:t>
            </w:r>
            <w:r>
              <w:rPr>
                <w:rFonts w:ascii="Verdana" w:hAnsi="Verdana" w:cs="Arial"/>
                <w:sz w:val="20"/>
                <w:szCs w:val="20"/>
              </w:rPr>
              <w:t xml:space="preserve"> – created in 2002 the program allows up to eight local governments per year to be exempted from comprehensive plan review by the division.  To date, the cities of Lakeland, Orlando, Miramar, and Freeport have been certified.  To be eligible, a local government must demonstrate a level of competence to execute locally what DCA oversees at the state level.</w:t>
            </w:r>
          </w:p>
        </w:tc>
      </w:tr>
      <w:tr w:rsidR="00940AE5" w:rsidRPr="009A10F2" w:rsidTr="0020293E">
        <w:trPr>
          <w:trHeight w:val="20"/>
        </w:trPr>
        <w:tc>
          <w:tcPr>
            <w:tcW w:w="314" w:type="pct"/>
            <w:shd w:val="clear" w:color="auto" w:fill="auto"/>
          </w:tcPr>
          <w:p w:rsidR="00940AE5" w:rsidRPr="009A10F2" w:rsidRDefault="00940AE5" w:rsidP="0049276F">
            <w:pPr>
              <w:spacing w:beforeLines="60" w:afterLines="60"/>
              <w:rPr>
                <w:rFonts w:ascii="Verdana" w:hAnsi="Verdana" w:cs="Arial"/>
                <w:sz w:val="16"/>
                <w:szCs w:val="16"/>
              </w:rPr>
            </w:pPr>
          </w:p>
        </w:tc>
        <w:tc>
          <w:tcPr>
            <w:tcW w:w="380" w:type="pct"/>
            <w:shd w:val="clear" w:color="auto" w:fill="auto"/>
          </w:tcPr>
          <w:p w:rsidR="00940AE5" w:rsidRPr="009A10F2" w:rsidRDefault="00940AE5"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Borders>
              <w:top w:val="nil"/>
              <w:bottom w:val="nil"/>
            </w:tcBorders>
            <w:shd w:val="clear" w:color="auto" w:fill="auto"/>
          </w:tcPr>
          <w:p w:rsidR="008566FB" w:rsidRDefault="008566FB" w:rsidP="0049276F">
            <w:pPr>
              <w:spacing w:beforeLines="60" w:afterLines="60"/>
              <w:rPr>
                <w:rFonts w:ascii="Verdana" w:hAnsi="Verdana" w:cs="Arial"/>
                <w:sz w:val="20"/>
                <w:szCs w:val="20"/>
              </w:rPr>
            </w:pPr>
          </w:p>
        </w:tc>
      </w:tr>
      <w:tr w:rsidR="008D4FEF" w:rsidRPr="009A10F2" w:rsidTr="0020293E">
        <w:trPr>
          <w:trHeight w:val="20"/>
        </w:trPr>
        <w:tc>
          <w:tcPr>
            <w:tcW w:w="314" w:type="pct"/>
            <w:tcBorders>
              <w:bottom w:val="single" w:sz="4" w:space="0" w:color="auto"/>
            </w:tcBorders>
            <w:shd w:val="clear" w:color="auto" w:fill="auto"/>
          </w:tcPr>
          <w:p w:rsidR="008D4FEF" w:rsidRPr="009A10F2" w:rsidRDefault="008D4FEF" w:rsidP="0049276F">
            <w:pPr>
              <w:spacing w:beforeLines="60" w:afterLines="60"/>
              <w:rPr>
                <w:rFonts w:ascii="Verdana" w:hAnsi="Verdana" w:cs="Arial"/>
                <w:sz w:val="16"/>
                <w:szCs w:val="16"/>
              </w:rPr>
            </w:pPr>
          </w:p>
        </w:tc>
        <w:tc>
          <w:tcPr>
            <w:tcW w:w="380" w:type="pct"/>
            <w:tcBorders>
              <w:bottom w:val="single" w:sz="4" w:space="0" w:color="auto"/>
            </w:tcBorders>
            <w:shd w:val="clear" w:color="auto" w:fill="auto"/>
          </w:tcPr>
          <w:p w:rsidR="008D4FEF" w:rsidRPr="009A10F2" w:rsidRDefault="008D4FEF"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Borders>
              <w:top w:val="nil"/>
              <w:bottom w:val="nil"/>
            </w:tcBorders>
            <w:shd w:val="clear" w:color="auto" w:fill="auto"/>
          </w:tcPr>
          <w:p w:rsidR="008566FB" w:rsidRDefault="008566FB" w:rsidP="0049276F">
            <w:pPr>
              <w:spacing w:beforeLines="60" w:afterLines="60"/>
              <w:rPr>
                <w:rFonts w:ascii="Verdana" w:hAnsi="Verdana" w:cs="Arial"/>
                <w:sz w:val="20"/>
                <w:szCs w:val="20"/>
              </w:rPr>
            </w:pPr>
          </w:p>
        </w:tc>
      </w:tr>
      <w:tr w:rsidR="00940AE5" w:rsidRPr="009A10F2" w:rsidTr="0020293E">
        <w:trPr>
          <w:trHeight w:val="20"/>
        </w:trPr>
        <w:tc>
          <w:tcPr>
            <w:tcW w:w="314" w:type="pct"/>
            <w:tcBorders>
              <w:bottom w:val="single" w:sz="4" w:space="0" w:color="auto"/>
              <w:right w:val="nil"/>
            </w:tcBorders>
            <w:shd w:val="clear" w:color="auto" w:fill="auto"/>
          </w:tcPr>
          <w:p w:rsidR="00940AE5" w:rsidRPr="009A10F2" w:rsidRDefault="00940AE5" w:rsidP="0049276F">
            <w:pPr>
              <w:spacing w:beforeLines="60" w:afterLines="60"/>
              <w:rPr>
                <w:rFonts w:ascii="Verdana" w:hAnsi="Verdana" w:cs="Arial"/>
                <w:sz w:val="16"/>
                <w:szCs w:val="16"/>
              </w:rPr>
            </w:pPr>
          </w:p>
        </w:tc>
        <w:tc>
          <w:tcPr>
            <w:tcW w:w="380" w:type="pct"/>
            <w:tcBorders>
              <w:left w:val="nil"/>
              <w:bottom w:val="single" w:sz="4" w:space="0" w:color="auto"/>
            </w:tcBorders>
            <w:shd w:val="clear" w:color="auto" w:fill="auto"/>
          </w:tcPr>
          <w:p w:rsidR="00940AE5" w:rsidRPr="009A10F2" w:rsidRDefault="00940AE5" w:rsidP="0049276F">
            <w:pPr>
              <w:spacing w:beforeLines="60" w:afterLines="60"/>
              <w:rPr>
                <w:rFonts w:ascii="Verdana" w:hAnsi="Verdana" w:cs="Arial"/>
                <w:i/>
                <w:sz w:val="16"/>
                <w:szCs w:val="16"/>
              </w:rPr>
            </w:pPr>
          </w:p>
        </w:tc>
        <w:tc>
          <w:tcPr>
            <w:tcW w:w="4306" w:type="pct"/>
            <w:vMerge/>
            <w:tcBorders>
              <w:top w:val="nil"/>
              <w:bottom w:val="single" w:sz="4" w:space="0" w:color="auto"/>
            </w:tcBorders>
            <w:shd w:val="clear" w:color="auto" w:fill="auto"/>
          </w:tcPr>
          <w:p w:rsidR="008566FB" w:rsidRDefault="008566FB" w:rsidP="0049276F">
            <w:pPr>
              <w:spacing w:beforeLines="60" w:afterLines="60"/>
              <w:rPr>
                <w:rFonts w:ascii="Verdana" w:hAnsi="Verdana" w:cs="Arial"/>
                <w:sz w:val="20"/>
                <w:szCs w:val="20"/>
              </w:rPr>
            </w:pPr>
          </w:p>
        </w:tc>
      </w:tr>
    </w:tbl>
    <w:p w:rsidR="0020293E" w:rsidRDefault="0020293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F3660D" w:rsidRPr="009A10F2" w:rsidTr="0020293E">
        <w:trPr>
          <w:trHeight w:val="20"/>
        </w:trPr>
        <w:tc>
          <w:tcPr>
            <w:tcW w:w="694" w:type="pct"/>
            <w:gridSpan w:val="2"/>
            <w:tcBorders>
              <w:top w:val="single" w:sz="4" w:space="0" w:color="auto"/>
            </w:tcBorders>
            <w:shd w:val="clear" w:color="auto" w:fill="auto"/>
          </w:tcPr>
          <w:p w:rsidR="00F3660D" w:rsidRPr="009A10F2" w:rsidRDefault="00F3660D" w:rsidP="0049276F">
            <w:pPr>
              <w:spacing w:beforeLines="60" w:afterLines="60"/>
              <w:rPr>
                <w:rFonts w:ascii="Verdana" w:hAnsi="Verdana" w:cs="Arial"/>
                <w:i/>
                <w:sz w:val="16"/>
                <w:szCs w:val="16"/>
              </w:rPr>
            </w:pPr>
          </w:p>
        </w:tc>
        <w:tc>
          <w:tcPr>
            <w:tcW w:w="4306" w:type="pct"/>
            <w:tcBorders>
              <w:top w:val="single" w:sz="4" w:space="0" w:color="auto"/>
              <w:bottom w:val="single" w:sz="4" w:space="0" w:color="auto"/>
            </w:tcBorders>
            <w:shd w:val="clear" w:color="auto" w:fill="auto"/>
          </w:tcPr>
          <w:p w:rsidR="00AB30F5" w:rsidRDefault="00AB30F5" w:rsidP="0049276F">
            <w:pPr>
              <w:spacing w:beforeLines="60" w:afterLines="60"/>
              <w:ind w:left="360"/>
              <w:rPr>
                <w:rFonts w:ascii="Verdana" w:hAnsi="Verdana" w:cs="Arial"/>
                <w:sz w:val="20"/>
                <w:szCs w:val="20"/>
              </w:rPr>
            </w:pPr>
            <w:r>
              <w:rPr>
                <w:rFonts w:ascii="Verdana" w:hAnsi="Verdana" w:cs="Arial"/>
                <w:b/>
                <w:sz w:val="20"/>
                <w:szCs w:val="20"/>
              </w:rPr>
              <w:t>Rural Land Stewardship Areas Program</w:t>
            </w:r>
          </w:p>
          <w:p w:rsidR="00AB30F5" w:rsidRDefault="00AB30F5" w:rsidP="0049276F">
            <w:pPr>
              <w:spacing w:beforeLines="60" w:afterLines="60"/>
              <w:ind w:left="360"/>
              <w:rPr>
                <w:rFonts w:ascii="Verdana" w:hAnsi="Verdana" w:cs="Arial"/>
                <w:sz w:val="20"/>
                <w:szCs w:val="20"/>
              </w:rPr>
            </w:pPr>
            <w:r>
              <w:rPr>
                <w:rFonts w:ascii="Verdana" w:hAnsi="Verdana" w:cs="Arial"/>
                <w:sz w:val="20"/>
                <w:szCs w:val="20"/>
              </w:rPr>
              <w:t>Provides that counties may designate rural land stewardship areas (10,000 acre minimum), to include all or portions of lands classified in the future land use element as predominately agricultural, rural, open, open-rural, or a substantively equivalent land use.  The program was created to carry out the broad principles of rural sustainability; restoration and maintenance of the economic value of rural land; control of urban sprawl; identification and protection of ecosystems, habitats, and natural resources; promotion of rural economic activity; maintenance of the viability of Florida’s agricultural economy; and protection of the character of rural areas of Florida.</w:t>
            </w:r>
          </w:p>
          <w:p w:rsidR="00AB30F5" w:rsidRDefault="00891FF3" w:rsidP="0049276F">
            <w:pPr>
              <w:spacing w:beforeLines="60" w:afterLines="60"/>
              <w:ind w:left="360"/>
              <w:rPr>
                <w:rFonts w:ascii="Verdana" w:hAnsi="Verdana" w:cs="Arial"/>
                <w:b/>
                <w:sz w:val="20"/>
                <w:szCs w:val="20"/>
              </w:rPr>
            </w:pPr>
            <w:r w:rsidRPr="00891FF3">
              <w:rPr>
                <w:rFonts w:ascii="Verdana" w:hAnsi="Verdana" w:cs="Arial"/>
                <w:b/>
                <w:sz w:val="20"/>
                <w:szCs w:val="20"/>
              </w:rPr>
              <w:t>Optional Sector Plan Program</w:t>
            </w:r>
          </w:p>
          <w:p w:rsidR="00AB30F5" w:rsidRDefault="00AB30F5" w:rsidP="0049276F">
            <w:pPr>
              <w:spacing w:beforeLines="60" w:afterLines="60"/>
              <w:ind w:left="360"/>
              <w:rPr>
                <w:rFonts w:ascii="Verdana" w:hAnsi="Verdana" w:cs="Arial"/>
                <w:sz w:val="20"/>
                <w:szCs w:val="20"/>
              </w:rPr>
            </w:pPr>
            <w:r>
              <w:rPr>
                <w:rFonts w:ascii="Verdana" w:hAnsi="Verdana" w:cs="Arial"/>
                <w:sz w:val="20"/>
                <w:szCs w:val="20"/>
              </w:rPr>
              <w:t>Provides that up to five optional sector plans may be authorized as pilot projects.  Optional sector plans include two major components; a long range conceptual framework map and a detailed specific area plan.  Once a specific area plan is in effect</w:t>
            </w:r>
            <w:r w:rsidR="005A7C2A">
              <w:rPr>
                <w:rFonts w:ascii="Verdana" w:hAnsi="Verdana" w:cs="Arial"/>
                <w:sz w:val="20"/>
                <w:szCs w:val="20"/>
              </w:rPr>
              <w:t>,</w:t>
            </w:r>
            <w:r>
              <w:rPr>
                <w:rFonts w:ascii="Verdana" w:hAnsi="Verdana" w:cs="Arial"/>
                <w:sz w:val="20"/>
                <w:szCs w:val="20"/>
              </w:rPr>
              <w:t xml:space="preserve"> development of regional impact requirements are satisfied</w:t>
            </w:r>
            <w:r w:rsidR="00A044FB">
              <w:rPr>
                <w:rFonts w:ascii="Verdana" w:hAnsi="Verdana" w:cs="Arial"/>
                <w:sz w:val="20"/>
                <w:szCs w:val="20"/>
              </w:rPr>
              <w:t>,</w:t>
            </w:r>
            <w:r>
              <w:rPr>
                <w:rFonts w:ascii="Verdana" w:hAnsi="Verdana" w:cs="Arial"/>
                <w:sz w:val="20"/>
                <w:szCs w:val="20"/>
              </w:rPr>
              <w:t xml:space="preserve"> thus consolidating the comprehensive planning and development of regional impact program.</w:t>
            </w:r>
          </w:p>
          <w:p w:rsidR="00A044FB" w:rsidRPr="00796398" w:rsidRDefault="00A044FB" w:rsidP="0049276F">
            <w:pPr>
              <w:spacing w:beforeLines="60" w:afterLines="60"/>
              <w:ind w:left="360"/>
              <w:rPr>
                <w:rFonts w:ascii="Verdana" w:hAnsi="Verdana" w:cs="Arial"/>
                <w:b/>
                <w:sz w:val="20"/>
                <w:szCs w:val="20"/>
              </w:rPr>
            </w:pPr>
            <w:r w:rsidRPr="00796398">
              <w:rPr>
                <w:rFonts w:ascii="Verdana" w:hAnsi="Verdana" w:cs="Arial"/>
                <w:b/>
                <w:sz w:val="20"/>
                <w:szCs w:val="20"/>
              </w:rPr>
              <w:t xml:space="preserve">Evaluation and Appraisal reports </w:t>
            </w:r>
          </w:p>
          <w:p w:rsidR="00A044FB" w:rsidRDefault="00A044FB" w:rsidP="0049276F">
            <w:pPr>
              <w:spacing w:beforeLines="60" w:afterLines="60"/>
              <w:ind w:left="360"/>
              <w:rPr>
                <w:rFonts w:ascii="Verdana" w:hAnsi="Verdana" w:cs="Arial"/>
                <w:sz w:val="20"/>
                <w:szCs w:val="20"/>
              </w:rPr>
            </w:pPr>
            <w:r w:rsidRPr="009A10F2">
              <w:rPr>
                <w:rFonts w:ascii="Verdana" w:hAnsi="Verdana" w:cs="Arial"/>
                <w:sz w:val="20"/>
                <w:szCs w:val="20"/>
              </w:rPr>
              <w:t xml:space="preserve">Every 7 years local governments are required to review the effectiveness of their comprehensive plans and </w:t>
            </w:r>
            <w:r>
              <w:rPr>
                <w:rFonts w:ascii="Verdana" w:hAnsi="Verdana" w:cs="Arial"/>
                <w:sz w:val="20"/>
                <w:szCs w:val="20"/>
              </w:rPr>
              <w:t xml:space="preserve">identify </w:t>
            </w:r>
            <w:r w:rsidRPr="009A10F2">
              <w:rPr>
                <w:rFonts w:ascii="Verdana" w:hAnsi="Verdana" w:cs="Arial"/>
                <w:sz w:val="20"/>
                <w:szCs w:val="20"/>
              </w:rPr>
              <w:t xml:space="preserve">any updates that need to be made to better address community objectives, changing conditions and trends affecting the community, and changes in statutory requirements.  Technical assistance and training workshops are provided for local governments prior to the EARs scheduled due date.    </w:t>
            </w:r>
          </w:p>
          <w:p w:rsidR="00AB30F5" w:rsidRPr="009A10F2" w:rsidRDefault="00A044FB" w:rsidP="0049276F">
            <w:pPr>
              <w:spacing w:beforeLines="60" w:afterLines="60"/>
              <w:ind w:left="360"/>
              <w:rPr>
                <w:rFonts w:ascii="Verdana" w:hAnsi="Verdana" w:cs="Arial"/>
                <w:sz w:val="20"/>
                <w:szCs w:val="20"/>
              </w:rPr>
            </w:pPr>
            <w:r w:rsidRPr="00D76511">
              <w:rPr>
                <w:rFonts w:ascii="Verdana" w:hAnsi="Verdana" w:cs="Arial"/>
                <w:i/>
                <w:sz w:val="20"/>
                <w:szCs w:val="20"/>
              </w:rPr>
              <w:t>FY 2008-09 Performance measures:</w:t>
            </w:r>
            <w:r>
              <w:rPr>
                <w:rFonts w:ascii="Verdana" w:hAnsi="Verdana" w:cs="Arial"/>
                <w:sz w:val="20"/>
                <w:szCs w:val="20"/>
              </w:rPr>
              <w:t xml:space="preserve"> 103 </w:t>
            </w:r>
            <w:r w:rsidRPr="009A10F2">
              <w:rPr>
                <w:rFonts w:ascii="Verdana" w:hAnsi="Verdana" w:cs="Arial"/>
                <w:sz w:val="20"/>
                <w:szCs w:val="20"/>
              </w:rPr>
              <w:t>Evaluation and Appraisal</w:t>
            </w:r>
            <w:r>
              <w:rPr>
                <w:rFonts w:ascii="Verdana" w:hAnsi="Verdana" w:cs="Arial"/>
                <w:sz w:val="20"/>
                <w:szCs w:val="20"/>
              </w:rPr>
              <w:t xml:space="preserve"> reports reviewed; 92.3% of initially adopted </w:t>
            </w:r>
            <w:r w:rsidRPr="009A10F2">
              <w:rPr>
                <w:rFonts w:ascii="Verdana" w:hAnsi="Verdana" w:cs="Arial"/>
                <w:sz w:val="20"/>
                <w:szCs w:val="20"/>
              </w:rPr>
              <w:t>Evaluation and Appraisal</w:t>
            </w:r>
            <w:r>
              <w:rPr>
                <w:rFonts w:ascii="Verdana" w:hAnsi="Verdana" w:cs="Arial"/>
                <w:sz w:val="20"/>
                <w:szCs w:val="20"/>
              </w:rPr>
              <w:t xml:space="preserve"> reports determined to be sufficient.</w:t>
            </w:r>
          </w:p>
        </w:tc>
      </w:tr>
      <w:tr w:rsidR="00940AE5" w:rsidRPr="009A10F2" w:rsidTr="00595DD9">
        <w:trPr>
          <w:cantSplit/>
          <w:trHeight w:val="450"/>
        </w:trPr>
        <w:tc>
          <w:tcPr>
            <w:tcW w:w="314" w:type="pct"/>
            <w:shd w:val="clear" w:color="auto" w:fill="auto"/>
          </w:tcPr>
          <w:p w:rsidR="00940AE5" w:rsidRPr="009A10F2" w:rsidRDefault="00940AE5" w:rsidP="0049276F">
            <w:pPr>
              <w:spacing w:beforeLines="60" w:afterLines="60"/>
              <w:jc w:val="center"/>
              <w:rPr>
                <w:rFonts w:ascii="Verdana" w:hAnsi="Verdana" w:cs="Arial"/>
                <w:sz w:val="16"/>
                <w:szCs w:val="16"/>
              </w:rPr>
            </w:pPr>
          </w:p>
        </w:tc>
        <w:tc>
          <w:tcPr>
            <w:tcW w:w="380" w:type="pct"/>
            <w:shd w:val="clear" w:color="auto" w:fill="auto"/>
          </w:tcPr>
          <w:p w:rsidR="00940AE5" w:rsidRPr="009A10F2" w:rsidRDefault="00276DFA"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Borders>
              <w:bottom w:val="nil"/>
            </w:tcBorders>
            <w:shd w:val="clear" w:color="auto" w:fill="auto"/>
          </w:tcPr>
          <w:p w:rsidR="006272C6" w:rsidRPr="00796398" w:rsidRDefault="006272C6" w:rsidP="0049276F">
            <w:pPr>
              <w:spacing w:beforeLines="60" w:afterLines="60"/>
              <w:ind w:left="360"/>
              <w:rPr>
                <w:rFonts w:ascii="Verdana" w:hAnsi="Verdana" w:cs="Arial"/>
                <w:b/>
                <w:sz w:val="20"/>
                <w:szCs w:val="20"/>
              </w:rPr>
            </w:pPr>
            <w:r w:rsidRPr="00796398">
              <w:rPr>
                <w:rFonts w:ascii="Verdana" w:hAnsi="Verdana" w:cs="Arial"/>
                <w:b/>
                <w:sz w:val="20"/>
                <w:szCs w:val="20"/>
              </w:rPr>
              <w:t xml:space="preserve">Developments of Regional Impact </w:t>
            </w:r>
          </w:p>
          <w:p w:rsidR="00285E04" w:rsidRPr="009A10F2" w:rsidRDefault="006272C6" w:rsidP="0049276F">
            <w:pPr>
              <w:spacing w:beforeLines="60" w:afterLines="60"/>
              <w:ind w:left="360"/>
              <w:rPr>
                <w:rFonts w:ascii="Verdana" w:hAnsi="Verdana" w:cs="Arial"/>
                <w:sz w:val="20"/>
                <w:szCs w:val="20"/>
              </w:rPr>
            </w:pPr>
            <w:r w:rsidRPr="009A10F2">
              <w:rPr>
                <w:rFonts w:ascii="Verdana" w:hAnsi="Verdana" w:cs="Arial"/>
                <w:sz w:val="20"/>
                <w:szCs w:val="20"/>
              </w:rPr>
              <w:t xml:space="preserve">Provides oversight of large scale development that exceeds size thresholds and would otherwise result in significant impact to adjacent counties.  The division is responsible for determinations of DRI status, and reviews adopted development orders.  Should a development order fail to meet standards, the division may file an appeal to the Governor and Cabinet sitting as the Land and Water Adjudicatory Commission.  </w:t>
            </w:r>
          </w:p>
        </w:tc>
      </w:tr>
      <w:tr w:rsidR="00940AE5" w:rsidRPr="009A10F2" w:rsidTr="00595DD9">
        <w:trPr>
          <w:cantSplit/>
          <w:trHeight w:val="450"/>
        </w:trPr>
        <w:tc>
          <w:tcPr>
            <w:tcW w:w="314" w:type="pct"/>
            <w:shd w:val="clear" w:color="auto" w:fill="auto"/>
          </w:tcPr>
          <w:p w:rsidR="00940AE5" w:rsidRPr="009A10F2" w:rsidRDefault="00940AE5" w:rsidP="0049276F">
            <w:pPr>
              <w:spacing w:beforeLines="60" w:afterLines="60"/>
              <w:rPr>
                <w:rFonts w:ascii="Verdana" w:hAnsi="Verdana" w:cs="Arial"/>
                <w:sz w:val="16"/>
                <w:szCs w:val="16"/>
              </w:rPr>
            </w:pPr>
          </w:p>
        </w:tc>
        <w:tc>
          <w:tcPr>
            <w:tcW w:w="380" w:type="pct"/>
            <w:shd w:val="clear" w:color="auto" w:fill="auto"/>
          </w:tcPr>
          <w:p w:rsidR="00940AE5" w:rsidRPr="009A10F2" w:rsidRDefault="00276DFA"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Borders>
              <w:top w:val="nil"/>
              <w:bottom w:val="nil"/>
            </w:tcBorders>
            <w:shd w:val="clear" w:color="auto" w:fill="auto"/>
          </w:tcPr>
          <w:p w:rsidR="008566FB" w:rsidRDefault="008566FB" w:rsidP="0049276F">
            <w:pPr>
              <w:spacing w:beforeLines="60" w:afterLines="60"/>
              <w:rPr>
                <w:rFonts w:ascii="Verdana" w:hAnsi="Verdana" w:cs="Arial"/>
                <w:sz w:val="20"/>
                <w:szCs w:val="20"/>
              </w:rPr>
            </w:pPr>
          </w:p>
        </w:tc>
      </w:tr>
      <w:tr w:rsidR="00940AE5" w:rsidRPr="009A10F2" w:rsidTr="00595DD9">
        <w:trPr>
          <w:cantSplit/>
          <w:trHeight w:val="450"/>
        </w:trPr>
        <w:tc>
          <w:tcPr>
            <w:tcW w:w="314" w:type="pct"/>
            <w:shd w:val="clear" w:color="auto" w:fill="auto"/>
          </w:tcPr>
          <w:p w:rsidR="00940AE5" w:rsidRPr="009A10F2" w:rsidRDefault="00940AE5" w:rsidP="0049276F">
            <w:pPr>
              <w:spacing w:beforeLines="60" w:afterLines="60"/>
              <w:rPr>
                <w:rFonts w:ascii="Verdana" w:hAnsi="Verdana" w:cs="Arial"/>
                <w:sz w:val="16"/>
                <w:szCs w:val="16"/>
              </w:rPr>
            </w:pPr>
          </w:p>
        </w:tc>
        <w:tc>
          <w:tcPr>
            <w:tcW w:w="380" w:type="pct"/>
            <w:shd w:val="clear" w:color="auto" w:fill="auto"/>
          </w:tcPr>
          <w:p w:rsidR="00940AE5" w:rsidRPr="009A10F2" w:rsidRDefault="00276DFA"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Borders>
              <w:top w:val="nil"/>
              <w:bottom w:val="nil"/>
            </w:tcBorders>
            <w:shd w:val="clear" w:color="auto" w:fill="auto"/>
          </w:tcPr>
          <w:p w:rsidR="008566FB" w:rsidRDefault="008566FB" w:rsidP="0049276F">
            <w:pPr>
              <w:spacing w:beforeLines="60" w:afterLines="60"/>
              <w:rPr>
                <w:rFonts w:ascii="Verdana" w:hAnsi="Verdana" w:cs="Arial"/>
                <w:sz w:val="20"/>
                <w:szCs w:val="20"/>
              </w:rPr>
            </w:pPr>
          </w:p>
        </w:tc>
      </w:tr>
      <w:tr w:rsidR="00E17B66" w:rsidRPr="009A10F2" w:rsidTr="006272C6">
        <w:trPr>
          <w:cantSplit/>
          <w:trHeight w:val="375"/>
        </w:trPr>
        <w:tc>
          <w:tcPr>
            <w:tcW w:w="694" w:type="pct"/>
            <w:gridSpan w:val="2"/>
            <w:tcBorders>
              <w:bottom w:val="single" w:sz="4" w:space="0" w:color="auto"/>
            </w:tcBorders>
            <w:shd w:val="clear" w:color="auto" w:fill="auto"/>
          </w:tcPr>
          <w:p w:rsidR="00E17B66" w:rsidRPr="009A10F2" w:rsidRDefault="00E17B66" w:rsidP="0049276F">
            <w:pPr>
              <w:spacing w:beforeLines="60" w:afterLines="60"/>
              <w:rPr>
                <w:rFonts w:ascii="Verdana" w:hAnsi="Verdana" w:cs="Arial"/>
                <w:i/>
                <w:sz w:val="16"/>
                <w:szCs w:val="16"/>
              </w:rPr>
            </w:pPr>
          </w:p>
        </w:tc>
        <w:tc>
          <w:tcPr>
            <w:tcW w:w="4306" w:type="pct"/>
            <w:tcBorders>
              <w:top w:val="nil"/>
              <w:bottom w:val="single" w:sz="4" w:space="0" w:color="auto"/>
            </w:tcBorders>
            <w:shd w:val="clear" w:color="auto" w:fill="auto"/>
          </w:tcPr>
          <w:p w:rsidR="00E17B66" w:rsidRPr="009A10F2" w:rsidRDefault="006272C6" w:rsidP="0049276F">
            <w:pPr>
              <w:spacing w:beforeLines="60" w:afterLines="60"/>
              <w:ind w:left="360"/>
              <w:rPr>
                <w:rFonts w:ascii="Verdana" w:hAnsi="Verdana" w:cs="Arial"/>
                <w:sz w:val="20"/>
                <w:szCs w:val="20"/>
              </w:rPr>
            </w:pPr>
            <w:r w:rsidRPr="00D76511">
              <w:rPr>
                <w:rFonts w:ascii="Verdana" w:hAnsi="Verdana" w:cs="Arial"/>
                <w:i/>
                <w:sz w:val="20"/>
                <w:szCs w:val="20"/>
              </w:rPr>
              <w:t>FY 2008-09 Performance measure:</w:t>
            </w:r>
            <w:r>
              <w:rPr>
                <w:rFonts w:ascii="Verdana" w:hAnsi="Verdana" w:cs="Arial"/>
                <w:sz w:val="20"/>
                <w:szCs w:val="20"/>
              </w:rPr>
              <w:t xml:space="preserve"> 226 Developments of Regional Impact managed.</w:t>
            </w:r>
          </w:p>
        </w:tc>
      </w:tr>
      <w:tr w:rsidR="006272C6" w:rsidRPr="009A10F2" w:rsidTr="006272C6">
        <w:trPr>
          <w:cantSplit/>
          <w:trHeight w:val="375"/>
        </w:trPr>
        <w:tc>
          <w:tcPr>
            <w:tcW w:w="314" w:type="pct"/>
            <w:shd w:val="clear" w:color="auto" w:fill="auto"/>
          </w:tcPr>
          <w:p w:rsidR="006272C6" w:rsidRPr="009A10F2" w:rsidRDefault="006272C6" w:rsidP="0049276F">
            <w:pPr>
              <w:spacing w:beforeLines="60" w:afterLines="60"/>
              <w:jc w:val="center"/>
              <w:rPr>
                <w:rFonts w:ascii="Verdana" w:hAnsi="Verdana" w:cs="Arial"/>
                <w:sz w:val="16"/>
                <w:szCs w:val="16"/>
              </w:rPr>
            </w:pPr>
          </w:p>
        </w:tc>
        <w:tc>
          <w:tcPr>
            <w:tcW w:w="380" w:type="pct"/>
            <w:shd w:val="clear" w:color="auto" w:fill="auto"/>
          </w:tcPr>
          <w:p w:rsidR="006272C6" w:rsidRPr="009A10F2" w:rsidRDefault="006272C6"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auto"/>
          </w:tcPr>
          <w:p w:rsidR="006272C6" w:rsidRPr="00796398" w:rsidRDefault="006272C6" w:rsidP="0049276F">
            <w:pPr>
              <w:spacing w:beforeLines="60" w:afterLines="60"/>
              <w:ind w:left="360"/>
              <w:rPr>
                <w:rFonts w:ascii="Verdana" w:hAnsi="Verdana" w:cs="Arial"/>
                <w:b/>
                <w:sz w:val="20"/>
                <w:szCs w:val="20"/>
              </w:rPr>
            </w:pPr>
            <w:r w:rsidRPr="00796398">
              <w:rPr>
                <w:rFonts w:ascii="Verdana" w:hAnsi="Verdana" w:cs="Arial"/>
                <w:b/>
                <w:sz w:val="20"/>
                <w:szCs w:val="20"/>
              </w:rPr>
              <w:t xml:space="preserve">Areas of Critical State Concern </w:t>
            </w:r>
          </w:p>
          <w:p w:rsidR="006272C6" w:rsidRDefault="006272C6" w:rsidP="0049276F">
            <w:pPr>
              <w:spacing w:beforeLines="60" w:afterLines="60"/>
              <w:ind w:left="360"/>
              <w:rPr>
                <w:rFonts w:ascii="Verdana" w:hAnsi="Verdana" w:cs="Arial"/>
                <w:sz w:val="20"/>
                <w:szCs w:val="20"/>
              </w:rPr>
            </w:pPr>
            <w:r w:rsidRPr="009A10F2">
              <w:rPr>
                <w:rFonts w:ascii="Verdana" w:hAnsi="Verdana" w:cs="Arial"/>
                <w:sz w:val="20"/>
                <w:szCs w:val="20"/>
              </w:rPr>
              <w:t xml:space="preserve">The focus of this program is to protect natural resources and public facilities of major statewide significance through cooperative planning and management. The program requires oversight of comprehensive plans, land development regulations, and development permits in The Big Cypress Swamp, Green Swamp, City of Apalachicola, and the Florida Keys, including the City of Key West. </w:t>
            </w:r>
          </w:p>
          <w:p w:rsidR="006272C6" w:rsidRPr="009A10F2" w:rsidRDefault="006272C6" w:rsidP="0049276F">
            <w:pPr>
              <w:spacing w:beforeLines="60" w:afterLines="60"/>
              <w:ind w:left="360"/>
              <w:rPr>
                <w:rFonts w:ascii="Verdana" w:hAnsi="Verdana" w:cs="Arial"/>
                <w:sz w:val="20"/>
                <w:szCs w:val="20"/>
              </w:rPr>
            </w:pPr>
            <w:r w:rsidRPr="00D76511">
              <w:rPr>
                <w:rFonts w:ascii="Verdana" w:hAnsi="Verdana" w:cs="Arial"/>
                <w:i/>
                <w:sz w:val="20"/>
                <w:szCs w:val="20"/>
              </w:rPr>
              <w:t>FY 2008-09 Performance measure:</w:t>
            </w:r>
            <w:r>
              <w:rPr>
                <w:rFonts w:ascii="Verdana" w:hAnsi="Verdana" w:cs="Arial"/>
                <w:sz w:val="20"/>
                <w:szCs w:val="20"/>
              </w:rPr>
              <w:t xml:space="preserve">  390 Area of Critical State Concern Development Orders reviewed and Final Orders issued.</w:t>
            </w:r>
          </w:p>
        </w:tc>
      </w:tr>
      <w:tr w:rsidR="006272C6" w:rsidRPr="009A10F2" w:rsidTr="006272C6">
        <w:trPr>
          <w:cantSplit/>
          <w:trHeight w:val="375"/>
        </w:trPr>
        <w:tc>
          <w:tcPr>
            <w:tcW w:w="314" w:type="pct"/>
            <w:shd w:val="clear" w:color="auto" w:fill="auto"/>
          </w:tcPr>
          <w:p w:rsidR="006272C6" w:rsidRPr="009A10F2" w:rsidRDefault="006272C6" w:rsidP="0049276F">
            <w:pPr>
              <w:spacing w:beforeLines="60" w:afterLines="60"/>
              <w:rPr>
                <w:rFonts w:ascii="Verdana" w:hAnsi="Verdana" w:cs="Arial"/>
                <w:sz w:val="16"/>
                <w:szCs w:val="16"/>
              </w:rPr>
            </w:pPr>
          </w:p>
        </w:tc>
        <w:tc>
          <w:tcPr>
            <w:tcW w:w="380" w:type="pct"/>
            <w:shd w:val="clear" w:color="auto" w:fill="auto"/>
          </w:tcPr>
          <w:p w:rsidR="006272C6" w:rsidRPr="009A10F2" w:rsidRDefault="006272C6"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auto"/>
          </w:tcPr>
          <w:p w:rsidR="008566FB" w:rsidRDefault="008566FB" w:rsidP="0049276F">
            <w:pPr>
              <w:spacing w:beforeLines="60" w:afterLines="60"/>
              <w:rPr>
                <w:rFonts w:ascii="Verdana" w:hAnsi="Verdana" w:cs="Arial"/>
                <w:sz w:val="20"/>
                <w:szCs w:val="20"/>
              </w:rPr>
            </w:pPr>
          </w:p>
        </w:tc>
      </w:tr>
      <w:tr w:rsidR="006272C6" w:rsidRPr="009A10F2" w:rsidTr="006272C6">
        <w:trPr>
          <w:cantSplit/>
          <w:trHeight w:val="712"/>
        </w:trPr>
        <w:tc>
          <w:tcPr>
            <w:tcW w:w="314" w:type="pct"/>
            <w:shd w:val="clear" w:color="auto" w:fill="auto"/>
          </w:tcPr>
          <w:p w:rsidR="006272C6" w:rsidRPr="009A10F2" w:rsidRDefault="006272C6" w:rsidP="0049276F">
            <w:pPr>
              <w:spacing w:beforeLines="60" w:afterLines="60"/>
              <w:rPr>
                <w:rFonts w:ascii="Verdana" w:hAnsi="Verdana" w:cs="Arial"/>
                <w:i/>
                <w:sz w:val="16"/>
                <w:szCs w:val="16"/>
              </w:rPr>
            </w:pPr>
          </w:p>
        </w:tc>
        <w:tc>
          <w:tcPr>
            <w:tcW w:w="380" w:type="pct"/>
            <w:shd w:val="clear" w:color="auto" w:fill="auto"/>
          </w:tcPr>
          <w:p w:rsidR="006272C6" w:rsidRPr="009A10F2" w:rsidRDefault="006272C6"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auto"/>
          </w:tcPr>
          <w:p w:rsidR="008566FB" w:rsidRDefault="008566FB" w:rsidP="0049276F">
            <w:pPr>
              <w:spacing w:beforeLines="60" w:afterLines="60"/>
              <w:rPr>
                <w:rFonts w:ascii="Verdana" w:hAnsi="Verdana" w:cs="Arial"/>
                <w:sz w:val="20"/>
                <w:szCs w:val="20"/>
              </w:rPr>
            </w:pPr>
          </w:p>
        </w:tc>
      </w:tr>
      <w:tr w:rsidR="006272C6" w:rsidRPr="009A10F2" w:rsidTr="00E9714D">
        <w:trPr>
          <w:cantSplit/>
          <w:trHeight w:val="711"/>
        </w:trPr>
        <w:tc>
          <w:tcPr>
            <w:tcW w:w="694" w:type="pct"/>
            <w:gridSpan w:val="2"/>
            <w:shd w:val="clear" w:color="auto" w:fill="auto"/>
          </w:tcPr>
          <w:p w:rsidR="006272C6" w:rsidRPr="009A10F2" w:rsidRDefault="006272C6" w:rsidP="0049276F">
            <w:pPr>
              <w:spacing w:beforeLines="60" w:afterLines="60"/>
              <w:rPr>
                <w:rFonts w:ascii="Verdana" w:hAnsi="Verdana" w:cs="Arial"/>
                <w:i/>
                <w:sz w:val="16"/>
                <w:szCs w:val="16"/>
              </w:rPr>
            </w:pPr>
          </w:p>
        </w:tc>
        <w:tc>
          <w:tcPr>
            <w:tcW w:w="4306" w:type="pct"/>
            <w:vMerge/>
            <w:tcBorders>
              <w:bottom w:val="single" w:sz="4" w:space="0" w:color="auto"/>
            </w:tcBorders>
            <w:shd w:val="clear" w:color="auto" w:fill="auto"/>
          </w:tcPr>
          <w:p w:rsidR="008566FB" w:rsidRDefault="008566FB" w:rsidP="0049276F">
            <w:pPr>
              <w:spacing w:beforeLines="60" w:afterLines="60"/>
              <w:rPr>
                <w:rFonts w:ascii="Verdana" w:hAnsi="Verdana" w:cs="Arial"/>
                <w:sz w:val="20"/>
                <w:szCs w:val="20"/>
              </w:rPr>
            </w:pPr>
          </w:p>
        </w:tc>
      </w:tr>
    </w:tbl>
    <w:p w:rsidR="00867796" w:rsidRDefault="008677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6272C6" w:rsidRPr="009A10F2" w:rsidTr="006272C6">
        <w:trPr>
          <w:cantSplit/>
          <w:trHeight w:val="295"/>
        </w:trPr>
        <w:tc>
          <w:tcPr>
            <w:tcW w:w="314" w:type="pct"/>
            <w:shd w:val="clear" w:color="auto" w:fill="auto"/>
          </w:tcPr>
          <w:p w:rsidR="006272C6" w:rsidRPr="009A10F2" w:rsidRDefault="006272C6" w:rsidP="0049276F">
            <w:pPr>
              <w:spacing w:beforeLines="60" w:afterLines="60"/>
              <w:jc w:val="center"/>
              <w:rPr>
                <w:rFonts w:ascii="Verdana" w:hAnsi="Verdana" w:cs="Arial"/>
                <w:sz w:val="16"/>
                <w:szCs w:val="16"/>
              </w:rPr>
            </w:pPr>
          </w:p>
        </w:tc>
        <w:tc>
          <w:tcPr>
            <w:tcW w:w="380" w:type="pct"/>
            <w:shd w:val="clear" w:color="auto" w:fill="auto"/>
          </w:tcPr>
          <w:p w:rsidR="006272C6" w:rsidRPr="009A10F2" w:rsidRDefault="006272C6"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auto"/>
          </w:tcPr>
          <w:p w:rsidR="006272C6" w:rsidRPr="00796398" w:rsidRDefault="006272C6" w:rsidP="0049276F">
            <w:pPr>
              <w:spacing w:beforeLines="60" w:afterLines="60"/>
              <w:ind w:left="360"/>
              <w:rPr>
                <w:rFonts w:ascii="Verdana" w:hAnsi="Verdana"/>
                <w:b/>
                <w:sz w:val="20"/>
                <w:szCs w:val="20"/>
              </w:rPr>
            </w:pPr>
            <w:r w:rsidRPr="00796398">
              <w:rPr>
                <w:rFonts w:ascii="Verdana" w:hAnsi="Verdana" w:cs="Arial"/>
                <w:b/>
                <w:sz w:val="20"/>
                <w:szCs w:val="20"/>
              </w:rPr>
              <w:t xml:space="preserve">Transportation and Land Use Planning </w:t>
            </w:r>
          </w:p>
          <w:p w:rsidR="006272C6" w:rsidRPr="009A10F2" w:rsidRDefault="006272C6" w:rsidP="0049276F">
            <w:pPr>
              <w:spacing w:beforeLines="60" w:afterLines="60"/>
              <w:ind w:left="360"/>
              <w:rPr>
                <w:rFonts w:ascii="Verdana" w:hAnsi="Verdana" w:cs="Arial"/>
                <w:sz w:val="20"/>
                <w:szCs w:val="20"/>
              </w:rPr>
            </w:pPr>
            <w:r>
              <w:rPr>
                <w:rFonts w:ascii="Verdana" w:hAnsi="Verdana"/>
                <w:sz w:val="20"/>
                <w:szCs w:val="20"/>
              </w:rPr>
              <w:t>The Division assists the Department of Transportation by completing reviews of long-range transportation proposals, Metropolitan Planning Organization plans, and the five-year work plan, and participates in DOT’s Efficient Transportation Decision-Making Program.  The Division also re</w:t>
            </w:r>
            <w:r w:rsidRPr="009A10F2">
              <w:rPr>
                <w:rFonts w:ascii="Verdana" w:hAnsi="Verdana"/>
                <w:sz w:val="20"/>
                <w:szCs w:val="20"/>
              </w:rPr>
              <w:t>views transportation facilities work programs developed by Metropolitan Planning Organizations and the Florida Department of Transportation for consistency with local comprehensive plans.</w:t>
            </w:r>
          </w:p>
        </w:tc>
      </w:tr>
      <w:tr w:rsidR="006272C6" w:rsidRPr="009A10F2" w:rsidTr="006272C6">
        <w:trPr>
          <w:cantSplit/>
          <w:trHeight w:val="295"/>
        </w:trPr>
        <w:tc>
          <w:tcPr>
            <w:tcW w:w="314" w:type="pct"/>
            <w:shd w:val="clear" w:color="auto" w:fill="auto"/>
          </w:tcPr>
          <w:p w:rsidR="006272C6" w:rsidRPr="009A10F2" w:rsidRDefault="006272C6" w:rsidP="0049276F">
            <w:pPr>
              <w:spacing w:beforeLines="60" w:afterLines="60"/>
              <w:rPr>
                <w:rFonts w:ascii="Verdana" w:hAnsi="Verdana" w:cs="Arial"/>
                <w:sz w:val="16"/>
                <w:szCs w:val="16"/>
              </w:rPr>
            </w:pPr>
          </w:p>
        </w:tc>
        <w:tc>
          <w:tcPr>
            <w:tcW w:w="380" w:type="pct"/>
            <w:shd w:val="clear" w:color="auto" w:fill="auto"/>
          </w:tcPr>
          <w:p w:rsidR="006272C6" w:rsidRPr="009A10F2" w:rsidRDefault="006272C6"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auto"/>
          </w:tcPr>
          <w:p w:rsidR="008566FB" w:rsidRDefault="008566FB" w:rsidP="0049276F">
            <w:pPr>
              <w:spacing w:beforeLines="60" w:afterLines="60"/>
              <w:rPr>
                <w:rFonts w:ascii="Verdana" w:hAnsi="Verdana" w:cs="Arial"/>
                <w:sz w:val="20"/>
                <w:szCs w:val="20"/>
              </w:rPr>
            </w:pPr>
          </w:p>
        </w:tc>
      </w:tr>
      <w:tr w:rsidR="006272C6" w:rsidRPr="009A10F2" w:rsidTr="006272C6">
        <w:trPr>
          <w:cantSplit/>
          <w:trHeight w:val="497"/>
        </w:trPr>
        <w:tc>
          <w:tcPr>
            <w:tcW w:w="314" w:type="pct"/>
            <w:shd w:val="clear" w:color="auto" w:fill="auto"/>
          </w:tcPr>
          <w:p w:rsidR="006272C6" w:rsidRPr="009A10F2" w:rsidRDefault="006272C6" w:rsidP="0049276F">
            <w:pPr>
              <w:spacing w:beforeLines="60" w:afterLines="60"/>
              <w:rPr>
                <w:rFonts w:ascii="Verdana" w:hAnsi="Verdana" w:cs="Arial"/>
                <w:i/>
                <w:sz w:val="16"/>
                <w:szCs w:val="16"/>
              </w:rPr>
            </w:pPr>
          </w:p>
        </w:tc>
        <w:tc>
          <w:tcPr>
            <w:tcW w:w="380" w:type="pct"/>
            <w:shd w:val="clear" w:color="auto" w:fill="auto"/>
          </w:tcPr>
          <w:p w:rsidR="006272C6" w:rsidRPr="009A10F2" w:rsidRDefault="006272C6"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auto"/>
          </w:tcPr>
          <w:p w:rsidR="008566FB" w:rsidRDefault="008566FB" w:rsidP="0049276F">
            <w:pPr>
              <w:spacing w:beforeLines="60" w:afterLines="60"/>
              <w:rPr>
                <w:rFonts w:ascii="Verdana" w:hAnsi="Verdana" w:cs="Arial"/>
                <w:sz w:val="20"/>
                <w:szCs w:val="20"/>
              </w:rPr>
            </w:pPr>
          </w:p>
        </w:tc>
      </w:tr>
      <w:tr w:rsidR="006272C6" w:rsidRPr="009A10F2" w:rsidTr="00E9714D">
        <w:trPr>
          <w:cantSplit/>
          <w:trHeight w:val="496"/>
        </w:trPr>
        <w:tc>
          <w:tcPr>
            <w:tcW w:w="694" w:type="pct"/>
            <w:gridSpan w:val="2"/>
            <w:shd w:val="clear" w:color="auto" w:fill="auto"/>
          </w:tcPr>
          <w:p w:rsidR="006272C6" w:rsidRPr="009A10F2" w:rsidRDefault="006272C6" w:rsidP="0049276F">
            <w:pPr>
              <w:spacing w:beforeLines="60" w:afterLines="60"/>
              <w:rPr>
                <w:rFonts w:ascii="Verdana" w:hAnsi="Verdana" w:cs="Arial"/>
                <w:i/>
                <w:sz w:val="16"/>
                <w:szCs w:val="16"/>
              </w:rPr>
            </w:pPr>
          </w:p>
        </w:tc>
        <w:tc>
          <w:tcPr>
            <w:tcW w:w="4306" w:type="pct"/>
            <w:vMerge/>
            <w:tcBorders>
              <w:bottom w:val="single" w:sz="4" w:space="0" w:color="auto"/>
            </w:tcBorders>
            <w:shd w:val="clear" w:color="auto" w:fill="auto"/>
          </w:tcPr>
          <w:p w:rsidR="008566FB" w:rsidRDefault="008566FB" w:rsidP="0049276F">
            <w:pPr>
              <w:spacing w:beforeLines="60" w:afterLines="60"/>
              <w:rPr>
                <w:rFonts w:ascii="Verdana" w:hAnsi="Verdana" w:cs="Arial"/>
                <w:sz w:val="20"/>
                <w:szCs w:val="20"/>
              </w:rPr>
            </w:pPr>
          </w:p>
        </w:tc>
      </w:tr>
      <w:tr w:rsidR="00D76511" w:rsidRPr="009A10F2" w:rsidTr="00D76511">
        <w:trPr>
          <w:cantSplit/>
          <w:trHeight w:val="630"/>
        </w:trPr>
        <w:tc>
          <w:tcPr>
            <w:tcW w:w="314" w:type="pct"/>
            <w:shd w:val="clear" w:color="auto" w:fill="auto"/>
          </w:tcPr>
          <w:p w:rsidR="00D76511" w:rsidRPr="009A10F2" w:rsidRDefault="00D76511" w:rsidP="0049276F">
            <w:pPr>
              <w:tabs>
                <w:tab w:val="center" w:pos="351"/>
              </w:tabs>
              <w:spacing w:beforeLines="60" w:afterLines="60"/>
              <w:rPr>
                <w:rFonts w:ascii="Verdana" w:hAnsi="Verdana" w:cs="Arial"/>
                <w:sz w:val="16"/>
                <w:szCs w:val="16"/>
              </w:rPr>
            </w:pPr>
          </w:p>
        </w:tc>
        <w:tc>
          <w:tcPr>
            <w:tcW w:w="380" w:type="pct"/>
            <w:shd w:val="clear" w:color="auto" w:fill="auto"/>
          </w:tcPr>
          <w:p w:rsidR="00D76511" w:rsidRPr="009A10F2" w:rsidRDefault="00D76511"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auto"/>
          </w:tcPr>
          <w:p w:rsidR="00D76511" w:rsidRPr="00796398" w:rsidRDefault="00D76511" w:rsidP="0049276F">
            <w:pPr>
              <w:autoSpaceDE w:val="0"/>
              <w:autoSpaceDN w:val="0"/>
              <w:adjustRightInd w:val="0"/>
              <w:spacing w:beforeLines="60" w:afterLines="60"/>
              <w:ind w:left="360"/>
              <w:rPr>
                <w:rFonts w:ascii="Verdana" w:hAnsi="Verdana" w:cs="Arial"/>
                <w:b/>
                <w:sz w:val="20"/>
                <w:szCs w:val="20"/>
              </w:rPr>
            </w:pPr>
            <w:r>
              <w:rPr>
                <w:rFonts w:ascii="Verdana" w:hAnsi="Verdana" w:cs="Arial"/>
                <w:b/>
                <w:sz w:val="20"/>
                <w:szCs w:val="20"/>
              </w:rPr>
              <w:t>Post Disaster Redevelopment Plan Initiative</w:t>
            </w:r>
            <w:r w:rsidRPr="00796398">
              <w:rPr>
                <w:rFonts w:ascii="Verdana" w:hAnsi="Verdana" w:cs="Arial"/>
                <w:b/>
                <w:sz w:val="20"/>
                <w:szCs w:val="20"/>
              </w:rPr>
              <w:t xml:space="preserve"> </w:t>
            </w:r>
            <w:r w:rsidR="00463FED">
              <w:rPr>
                <w:rFonts w:ascii="Verdana" w:hAnsi="Verdana" w:cs="Arial"/>
                <w:b/>
                <w:sz w:val="20"/>
                <w:szCs w:val="20"/>
              </w:rPr>
              <w:t>(federally funded through DEP)</w:t>
            </w:r>
          </w:p>
          <w:p w:rsidR="00D76511" w:rsidRPr="009A10F2" w:rsidRDefault="00D76511" w:rsidP="0049276F">
            <w:pPr>
              <w:autoSpaceDE w:val="0"/>
              <w:autoSpaceDN w:val="0"/>
              <w:adjustRightInd w:val="0"/>
              <w:spacing w:beforeLines="60" w:afterLines="60"/>
              <w:ind w:left="360"/>
              <w:rPr>
                <w:rFonts w:ascii="Verdana" w:hAnsi="Verdana" w:cs="Arial"/>
                <w:sz w:val="20"/>
                <w:szCs w:val="20"/>
              </w:rPr>
            </w:pPr>
            <w:r w:rsidRPr="009A10F2">
              <w:rPr>
                <w:rFonts w:ascii="Verdana" w:hAnsi="Verdana" w:cs="Arial"/>
                <w:sz w:val="20"/>
                <w:szCs w:val="20"/>
              </w:rPr>
              <w:t xml:space="preserve">Federal Disaster Mitigation Act mandates that local governments prepare </w:t>
            </w:r>
            <w:r w:rsidR="00C534F8">
              <w:rPr>
                <w:rFonts w:ascii="Verdana" w:hAnsi="Verdana" w:cs="Arial"/>
                <w:sz w:val="20"/>
                <w:szCs w:val="20"/>
              </w:rPr>
              <w:t xml:space="preserve">local </w:t>
            </w:r>
            <w:r w:rsidRPr="009A10F2">
              <w:rPr>
                <w:rFonts w:ascii="Verdana" w:hAnsi="Verdana" w:cs="Arial"/>
                <w:sz w:val="20"/>
                <w:szCs w:val="20"/>
              </w:rPr>
              <w:t xml:space="preserve">mitigation strategies to reduce vulnerability and risk associated with future growth and development.  </w:t>
            </w:r>
            <w:r w:rsidR="00D54A3C">
              <w:rPr>
                <w:rFonts w:ascii="Verdana" w:hAnsi="Verdana" w:cs="Arial"/>
                <w:sz w:val="20"/>
                <w:szCs w:val="20"/>
              </w:rPr>
              <w:t xml:space="preserve">In partnership with the Division of Emergency </w:t>
            </w:r>
            <w:r w:rsidR="005A7C2A">
              <w:rPr>
                <w:rFonts w:ascii="Verdana" w:hAnsi="Verdana" w:cs="Arial"/>
                <w:sz w:val="20"/>
                <w:szCs w:val="20"/>
              </w:rPr>
              <w:t>M</w:t>
            </w:r>
            <w:r w:rsidR="00D54A3C">
              <w:rPr>
                <w:rFonts w:ascii="Verdana" w:hAnsi="Verdana" w:cs="Arial"/>
                <w:sz w:val="20"/>
                <w:szCs w:val="20"/>
              </w:rPr>
              <w:t>anagement t</w:t>
            </w:r>
            <w:r w:rsidRPr="009A10F2">
              <w:rPr>
                <w:rFonts w:ascii="Verdana" w:hAnsi="Verdana" w:cs="Arial"/>
                <w:sz w:val="20"/>
                <w:szCs w:val="20"/>
              </w:rPr>
              <w:t xml:space="preserve">he division </w:t>
            </w:r>
            <w:r w:rsidR="00D54A3C">
              <w:rPr>
                <w:rFonts w:ascii="Verdana" w:hAnsi="Verdana" w:cs="Arial"/>
                <w:sz w:val="20"/>
                <w:szCs w:val="20"/>
              </w:rPr>
              <w:t xml:space="preserve">is implementing </w:t>
            </w:r>
            <w:r w:rsidRPr="009A10F2">
              <w:rPr>
                <w:rFonts w:ascii="Verdana" w:hAnsi="Verdana" w:cs="Arial"/>
                <w:sz w:val="20"/>
                <w:szCs w:val="20"/>
              </w:rPr>
              <w:t xml:space="preserve">a </w:t>
            </w:r>
            <w:r w:rsidR="00D54A3C">
              <w:rPr>
                <w:rFonts w:ascii="Verdana" w:hAnsi="Verdana" w:cs="Arial"/>
                <w:sz w:val="20"/>
                <w:szCs w:val="20"/>
              </w:rPr>
              <w:t>multi</w:t>
            </w:r>
            <w:r w:rsidRPr="009A10F2">
              <w:rPr>
                <w:rFonts w:ascii="Verdana" w:hAnsi="Verdana" w:cs="Arial"/>
                <w:sz w:val="20"/>
                <w:szCs w:val="20"/>
              </w:rPr>
              <w:t xml:space="preserve">-year planning initiative to help local governments prepare post-disaster </w:t>
            </w:r>
            <w:r w:rsidR="00D54A3C">
              <w:rPr>
                <w:rFonts w:ascii="Verdana" w:hAnsi="Verdana" w:cs="Arial"/>
                <w:sz w:val="20"/>
                <w:szCs w:val="20"/>
              </w:rPr>
              <w:t>re</w:t>
            </w:r>
            <w:r w:rsidRPr="009A10F2">
              <w:rPr>
                <w:rFonts w:ascii="Verdana" w:hAnsi="Verdana" w:cs="Arial"/>
                <w:sz w:val="20"/>
                <w:szCs w:val="20"/>
              </w:rPr>
              <w:t>development plans.</w:t>
            </w:r>
            <w:r>
              <w:rPr>
                <w:rFonts w:ascii="Verdana" w:hAnsi="Verdana" w:cs="Arial"/>
                <w:sz w:val="20"/>
                <w:szCs w:val="20"/>
              </w:rPr>
              <w:t xml:space="preserve"> The plans incorporate hazard mitigation principles into comprehensive plans to reduce future damage to property and public facilities, avoid development in hazardous areas, provide for adequate public shelters and maintain or reduce hurricane evacuation clearance times.  </w:t>
            </w:r>
            <w:r w:rsidR="00D54A3C">
              <w:rPr>
                <w:rFonts w:ascii="Verdana" w:hAnsi="Verdana" w:cs="Arial"/>
                <w:sz w:val="20"/>
                <w:szCs w:val="20"/>
              </w:rPr>
              <w:t xml:space="preserve">The division is currently providing technical assistance to pilot communities to plan for long-term recovery.  </w:t>
            </w:r>
            <w:r w:rsidRPr="009A10F2">
              <w:rPr>
                <w:rFonts w:ascii="Verdana" w:hAnsi="Verdana" w:cs="Arial"/>
                <w:sz w:val="20"/>
                <w:szCs w:val="20"/>
              </w:rPr>
              <w:t xml:space="preserve">It is anticipated that </w:t>
            </w:r>
            <w:r>
              <w:rPr>
                <w:rFonts w:ascii="Verdana" w:hAnsi="Verdana" w:cs="Arial"/>
                <w:sz w:val="20"/>
                <w:szCs w:val="20"/>
              </w:rPr>
              <w:t xml:space="preserve">the division will produce </w:t>
            </w:r>
            <w:r w:rsidRPr="009A10F2">
              <w:rPr>
                <w:rFonts w:ascii="Verdana" w:hAnsi="Verdana" w:cs="Arial"/>
                <w:sz w:val="20"/>
                <w:szCs w:val="20"/>
              </w:rPr>
              <w:t xml:space="preserve">a Post-Disaster Redevelopment Planning guidebook </w:t>
            </w:r>
            <w:r>
              <w:rPr>
                <w:rFonts w:ascii="Verdana" w:hAnsi="Verdana" w:cs="Arial"/>
                <w:sz w:val="20"/>
                <w:szCs w:val="20"/>
              </w:rPr>
              <w:t xml:space="preserve">later this year </w:t>
            </w:r>
            <w:r w:rsidRPr="009A10F2">
              <w:rPr>
                <w:rFonts w:ascii="Verdana" w:hAnsi="Verdana" w:cs="Arial"/>
                <w:sz w:val="20"/>
                <w:szCs w:val="20"/>
              </w:rPr>
              <w:t>to assist local governments</w:t>
            </w:r>
            <w:r>
              <w:rPr>
                <w:rFonts w:ascii="Verdana" w:hAnsi="Verdana" w:cs="Arial"/>
                <w:sz w:val="20"/>
                <w:szCs w:val="20"/>
              </w:rPr>
              <w:t xml:space="preserve"> in compliance with this requirement</w:t>
            </w:r>
            <w:r w:rsidRPr="009A10F2">
              <w:rPr>
                <w:rFonts w:ascii="Verdana" w:hAnsi="Verdana" w:cs="Arial"/>
                <w:sz w:val="20"/>
                <w:szCs w:val="20"/>
              </w:rPr>
              <w:t xml:space="preserve">.   </w:t>
            </w:r>
          </w:p>
        </w:tc>
      </w:tr>
      <w:tr w:rsidR="00D76511" w:rsidRPr="009A10F2" w:rsidTr="00D76511">
        <w:trPr>
          <w:cantSplit/>
          <w:trHeight w:val="630"/>
        </w:trPr>
        <w:tc>
          <w:tcPr>
            <w:tcW w:w="314" w:type="pct"/>
            <w:shd w:val="clear" w:color="auto" w:fill="auto"/>
          </w:tcPr>
          <w:p w:rsidR="00D76511" w:rsidRPr="009A10F2" w:rsidRDefault="00D76511" w:rsidP="0049276F">
            <w:pPr>
              <w:spacing w:beforeLines="60" w:afterLines="60"/>
              <w:rPr>
                <w:rFonts w:ascii="Verdana" w:hAnsi="Verdana" w:cs="Arial"/>
                <w:sz w:val="16"/>
                <w:szCs w:val="16"/>
              </w:rPr>
            </w:pPr>
          </w:p>
        </w:tc>
        <w:tc>
          <w:tcPr>
            <w:tcW w:w="380" w:type="pct"/>
            <w:shd w:val="clear" w:color="auto" w:fill="auto"/>
          </w:tcPr>
          <w:p w:rsidR="00D76511" w:rsidRPr="009A10F2" w:rsidRDefault="00D76511"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D76511" w:rsidRPr="009A10F2" w:rsidTr="00D76511">
        <w:trPr>
          <w:cantSplit/>
          <w:trHeight w:val="604"/>
        </w:trPr>
        <w:tc>
          <w:tcPr>
            <w:tcW w:w="314" w:type="pct"/>
            <w:tcBorders>
              <w:bottom w:val="single" w:sz="4" w:space="0" w:color="auto"/>
            </w:tcBorders>
            <w:shd w:val="clear" w:color="auto" w:fill="auto"/>
          </w:tcPr>
          <w:p w:rsidR="00D76511" w:rsidRPr="009A10F2" w:rsidRDefault="00D76511" w:rsidP="0049276F">
            <w:pPr>
              <w:spacing w:beforeLines="60" w:afterLines="60"/>
              <w:rPr>
                <w:rFonts w:ascii="Verdana" w:hAnsi="Verdana" w:cs="Arial"/>
                <w:i/>
                <w:sz w:val="16"/>
                <w:szCs w:val="16"/>
              </w:rPr>
            </w:pPr>
          </w:p>
        </w:tc>
        <w:tc>
          <w:tcPr>
            <w:tcW w:w="380" w:type="pct"/>
            <w:tcBorders>
              <w:bottom w:val="single" w:sz="4" w:space="0" w:color="auto"/>
            </w:tcBorders>
            <w:shd w:val="clear" w:color="auto" w:fill="auto"/>
          </w:tcPr>
          <w:p w:rsidR="00D76511" w:rsidRPr="009A10F2" w:rsidRDefault="00D76511"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D76511" w:rsidRPr="009A10F2" w:rsidTr="00D76511">
        <w:trPr>
          <w:cantSplit/>
          <w:trHeight w:val="604"/>
        </w:trPr>
        <w:tc>
          <w:tcPr>
            <w:tcW w:w="314" w:type="pct"/>
            <w:tcBorders>
              <w:right w:val="nil"/>
            </w:tcBorders>
            <w:shd w:val="clear" w:color="auto" w:fill="auto"/>
          </w:tcPr>
          <w:p w:rsidR="00D76511" w:rsidRPr="009A10F2" w:rsidRDefault="00D76511" w:rsidP="0049276F">
            <w:pPr>
              <w:spacing w:beforeLines="60" w:afterLines="60"/>
              <w:rPr>
                <w:rFonts w:ascii="Verdana" w:hAnsi="Verdana" w:cs="Arial"/>
                <w:i/>
                <w:sz w:val="16"/>
                <w:szCs w:val="16"/>
              </w:rPr>
            </w:pPr>
          </w:p>
        </w:tc>
        <w:tc>
          <w:tcPr>
            <w:tcW w:w="380" w:type="pct"/>
            <w:tcBorders>
              <w:left w:val="nil"/>
            </w:tcBorders>
            <w:shd w:val="clear" w:color="auto" w:fill="auto"/>
          </w:tcPr>
          <w:p w:rsidR="00D76511" w:rsidRPr="009A10F2" w:rsidRDefault="00D76511" w:rsidP="0049276F">
            <w:pPr>
              <w:spacing w:beforeLines="60" w:afterLines="60"/>
              <w:rPr>
                <w:rFonts w:ascii="Verdana" w:hAnsi="Verdana" w:cs="Arial"/>
                <w:i/>
                <w:sz w:val="16"/>
                <w:szCs w:val="16"/>
              </w:rPr>
            </w:pPr>
          </w:p>
        </w:tc>
        <w:tc>
          <w:tcPr>
            <w:tcW w:w="4306" w:type="pct"/>
            <w:vMerge/>
            <w:tcBorders>
              <w:bottom w:val="nil"/>
            </w:tcBorders>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20293E" w:rsidRPr="009A10F2" w:rsidTr="00595DD9">
        <w:trPr>
          <w:cantSplit/>
          <w:trHeight w:val="385"/>
        </w:trPr>
        <w:tc>
          <w:tcPr>
            <w:tcW w:w="314" w:type="pct"/>
            <w:shd w:val="clear" w:color="auto" w:fill="auto"/>
          </w:tcPr>
          <w:p w:rsidR="0020293E" w:rsidRPr="009A10F2" w:rsidRDefault="0020293E" w:rsidP="0049276F">
            <w:pPr>
              <w:tabs>
                <w:tab w:val="center" w:pos="351"/>
              </w:tabs>
              <w:spacing w:beforeLines="60" w:afterLines="60"/>
              <w:rPr>
                <w:rFonts w:ascii="Verdana" w:hAnsi="Verdana" w:cs="Arial"/>
                <w:sz w:val="16"/>
                <w:szCs w:val="16"/>
              </w:rPr>
            </w:pPr>
            <w:r>
              <w:rPr>
                <w:rFonts w:ascii="Verdana" w:hAnsi="Verdana" w:cs="Arial"/>
                <w:sz w:val="16"/>
                <w:szCs w:val="16"/>
              </w:rPr>
              <w:tab/>
            </w:r>
          </w:p>
        </w:tc>
        <w:tc>
          <w:tcPr>
            <w:tcW w:w="380" w:type="pct"/>
            <w:shd w:val="clear" w:color="auto" w:fill="auto"/>
          </w:tcPr>
          <w:p w:rsidR="0020293E" w:rsidRPr="009A10F2" w:rsidRDefault="0020293E"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Borders>
              <w:bottom w:val="nil"/>
            </w:tcBorders>
            <w:shd w:val="clear" w:color="auto" w:fill="auto"/>
          </w:tcPr>
          <w:p w:rsidR="0020293E" w:rsidRPr="00796398" w:rsidRDefault="0020293E" w:rsidP="0049276F">
            <w:pPr>
              <w:autoSpaceDE w:val="0"/>
              <w:autoSpaceDN w:val="0"/>
              <w:adjustRightInd w:val="0"/>
              <w:spacing w:beforeLines="60" w:afterLines="60"/>
              <w:ind w:left="360"/>
              <w:rPr>
                <w:rFonts w:ascii="Verdana" w:hAnsi="Verdana" w:cs="Arial"/>
                <w:b/>
                <w:sz w:val="20"/>
                <w:szCs w:val="20"/>
              </w:rPr>
            </w:pPr>
            <w:r w:rsidRPr="00796398">
              <w:rPr>
                <w:rFonts w:ascii="Verdana" w:hAnsi="Verdana" w:cs="Arial"/>
                <w:b/>
                <w:sz w:val="20"/>
                <w:szCs w:val="20"/>
              </w:rPr>
              <w:t xml:space="preserve">Springs Protection </w:t>
            </w:r>
          </w:p>
          <w:p w:rsidR="0020293E" w:rsidRPr="009A10F2" w:rsidRDefault="0020293E"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The division, in conjunction with the DEP, has p</w:t>
            </w:r>
            <w:r w:rsidRPr="009A10F2">
              <w:rPr>
                <w:rFonts w:ascii="Verdana" w:hAnsi="Verdana" w:cs="Arial"/>
                <w:sz w:val="20"/>
                <w:szCs w:val="20"/>
              </w:rPr>
              <w:t>repare</w:t>
            </w:r>
            <w:r>
              <w:rPr>
                <w:rFonts w:ascii="Verdana" w:hAnsi="Verdana" w:cs="Arial"/>
                <w:sz w:val="20"/>
                <w:szCs w:val="20"/>
              </w:rPr>
              <w:t>d a</w:t>
            </w:r>
            <w:r w:rsidRPr="009A10F2">
              <w:rPr>
                <w:rFonts w:ascii="Verdana" w:hAnsi="Verdana" w:cs="Arial"/>
                <w:sz w:val="20"/>
                <w:szCs w:val="20"/>
              </w:rPr>
              <w:t xml:space="preserve"> best </w:t>
            </w:r>
            <w:r>
              <w:rPr>
                <w:rFonts w:ascii="Verdana" w:hAnsi="Verdana" w:cs="Arial"/>
                <w:sz w:val="20"/>
                <w:szCs w:val="20"/>
              </w:rPr>
              <w:t xml:space="preserve">management </w:t>
            </w:r>
            <w:r w:rsidRPr="009A10F2">
              <w:rPr>
                <w:rFonts w:ascii="Verdana" w:hAnsi="Verdana" w:cs="Arial"/>
                <w:sz w:val="20"/>
                <w:szCs w:val="20"/>
              </w:rPr>
              <w:t xml:space="preserve">practices </w:t>
            </w:r>
            <w:r>
              <w:rPr>
                <w:rFonts w:ascii="Verdana" w:hAnsi="Verdana" w:cs="Arial"/>
                <w:sz w:val="20"/>
                <w:szCs w:val="20"/>
              </w:rPr>
              <w:t xml:space="preserve">manual, along with Implementation Guidelines, to </w:t>
            </w:r>
            <w:r w:rsidRPr="009A10F2">
              <w:rPr>
                <w:rFonts w:ascii="Verdana" w:hAnsi="Verdana" w:cs="Arial"/>
                <w:sz w:val="20"/>
                <w:szCs w:val="20"/>
              </w:rPr>
              <w:t xml:space="preserve">assist </w:t>
            </w:r>
            <w:r>
              <w:rPr>
                <w:rFonts w:ascii="Verdana" w:hAnsi="Verdana" w:cs="Arial"/>
                <w:sz w:val="20"/>
                <w:szCs w:val="20"/>
              </w:rPr>
              <w:t xml:space="preserve">pilot communities and provide ongoing technical assistance to local </w:t>
            </w:r>
            <w:r w:rsidRPr="009A10F2">
              <w:rPr>
                <w:rFonts w:ascii="Verdana" w:hAnsi="Verdana" w:cs="Arial"/>
                <w:sz w:val="20"/>
                <w:szCs w:val="20"/>
              </w:rPr>
              <w:t>governments</w:t>
            </w:r>
            <w:r>
              <w:rPr>
                <w:rFonts w:ascii="Verdana" w:hAnsi="Verdana" w:cs="Arial"/>
                <w:sz w:val="20"/>
                <w:szCs w:val="20"/>
              </w:rPr>
              <w:t xml:space="preserve"> t</w:t>
            </w:r>
            <w:r w:rsidRPr="009A10F2">
              <w:rPr>
                <w:rFonts w:ascii="Verdana" w:hAnsi="Verdana" w:cs="Arial"/>
                <w:sz w:val="20"/>
                <w:szCs w:val="20"/>
              </w:rPr>
              <w:t xml:space="preserve">o protect Florida’s springs and water resources. </w:t>
            </w:r>
            <w:r>
              <w:rPr>
                <w:rFonts w:ascii="Verdana" w:hAnsi="Verdana" w:cs="Arial"/>
                <w:sz w:val="20"/>
                <w:szCs w:val="20"/>
              </w:rPr>
              <w:t xml:space="preserve"> </w:t>
            </w:r>
          </w:p>
        </w:tc>
      </w:tr>
      <w:tr w:rsidR="0020293E" w:rsidRPr="009A10F2" w:rsidTr="00595DD9">
        <w:trPr>
          <w:cantSplit/>
          <w:trHeight w:val="385"/>
        </w:trPr>
        <w:tc>
          <w:tcPr>
            <w:tcW w:w="314" w:type="pct"/>
            <w:shd w:val="clear" w:color="auto" w:fill="auto"/>
          </w:tcPr>
          <w:p w:rsidR="0020293E" w:rsidRPr="009A10F2" w:rsidRDefault="0020293E" w:rsidP="0049276F">
            <w:pPr>
              <w:spacing w:beforeLines="60" w:afterLines="60"/>
              <w:rPr>
                <w:rFonts w:ascii="Verdana" w:hAnsi="Verdana" w:cs="Arial"/>
                <w:sz w:val="16"/>
                <w:szCs w:val="16"/>
              </w:rPr>
            </w:pPr>
          </w:p>
        </w:tc>
        <w:tc>
          <w:tcPr>
            <w:tcW w:w="380" w:type="pct"/>
            <w:shd w:val="clear" w:color="auto" w:fill="auto"/>
          </w:tcPr>
          <w:p w:rsidR="0020293E" w:rsidRPr="009A10F2" w:rsidRDefault="0020293E"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Borders>
              <w:top w:val="nil"/>
              <w:bottom w:val="nil"/>
            </w:tcBorders>
            <w:shd w:val="clear" w:color="auto" w:fill="auto"/>
          </w:tcPr>
          <w:p w:rsidR="0020293E" w:rsidRDefault="0020293E" w:rsidP="0049276F">
            <w:pPr>
              <w:autoSpaceDE w:val="0"/>
              <w:autoSpaceDN w:val="0"/>
              <w:adjustRightInd w:val="0"/>
              <w:spacing w:beforeLines="60" w:afterLines="60"/>
              <w:rPr>
                <w:rFonts w:ascii="Verdana" w:hAnsi="Verdana" w:cs="Arial"/>
                <w:sz w:val="20"/>
                <w:szCs w:val="20"/>
              </w:rPr>
            </w:pPr>
          </w:p>
        </w:tc>
      </w:tr>
      <w:tr w:rsidR="0020293E" w:rsidRPr="009A10F2" w:rsidTr="00595DD9">
        <w:trPr>
          <w:cantSplit/>
          <w:trHeight w:val="385"/>
        </w:trPr>
        <w:tc>
          <w:tcPr>
            <w:tcW w:w="314" w:type="pct"/>
            <w:shd w:val="clear" w:color="auto" w:fill="auto"/>
          </w:tcPr>
          <w:p w:rsidR="0020293E" w:rsidRPr="009A10F2" w:rsidRDefault="0020293E" w:rsidP="0049276F">
            <w:pPr>
              <w:spacing w:beforeLines="60" w:afterLines="60"/>
              <w:rPr>
                <w:rFonts w:ascii="Verdana" w:hAnsi="Verdana" w:cs="Arial"/>
                <w:i/>
                <w:sz w:val="16"/>
                <w:szCs w:val="16"/>
              </w:rPr>
            </w:pPr>
          </w:p>
        </w:tc>
        <w:tc>
          <w:tcPr>
            <w:tcW w:w="380" w:type="pct"/>
            <w:shd w:val="clear" w:color="auto" w:fill="auto"/>
          </w:tcPr>
          <w:p w:rsidR="0020293E" w:rsidRPr="009A10F2" w:rsidRDefault="0020293E"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Borders>
              <w:top w:val="nil"/>
              <w:bottom w:val="nil"/>
            </w:tcBorders>
            <w:shd w:val="clear" w:color="auto" w:fill="auto"/>
          </w:tcPr>
          <w:p w:rsidR="0020293E" w:rsidRDefault="0020293E" w:rsidP="0049276F">
            <w:pPr>
              <w:autoSpaceDE w:val="0"/>
              <w:autoSpaceDN w:val="0"/>
              <w:adjustRightInd w:val="0"/>
              <w:spacing w:beforeLines="60" w:afterLines="60"/>
              <w:rPr>
                <w:rFonts w:ascii="Verdana" w:hAnsi="Verdana" w:cs="Arial"/>
                <w:sz w:val="20"/>
                <w:szCs w:val="20"/>
              </w:rPr>
            </w:pPr>
          </w:p>
        </w:tc>
      </w:tr>
      <w:tr w:rsidR="0096734F" w:rsidRPr="009A10F2" w:rsidTr="00595DD9">
        <w:trPr>
          <w:cantSplit/>
          <w:trHeight w:val="470"/>
        </w:trPr>
        <w:tc>
          <w:tcPr>
            <w:tcW w:w="314" w:type="pct"/>
            <w:shd w:val="clear" w:color="auto" w:fill="auto"/>
          </w:tcPr>
          <w:p w:rsidR="0096734F" w:rsidRPr="009A10F2" w:rsidRDefault="0096734F" w:rsidP="0049276F">
            <w:pPr>
              <w:autoSpaceDE w:val="0"/>
              <w:autoSpaceDN w:val="0"/>
              <w:adjustRightInd w:val="0"/>
              <w:spacing w:beforeLines="60" w:afterLines="60"/>
              <w:jc w:val="center"/>
              <w:rPr>
                <w:rFonts w:ascii="Verdana" w:hAnsi="Verdana" w:cs="Arial"/>
                <w:sz w:val="16"/>
                <w:szCs w:val="16"/>
              </w:rPr>
            </w:pPr>
          </w:p>
        </w:tc>
        <w:tc>
          <w:tcPr>
            <w:tcW w:w="380" w:type="pct"/>
            <w:shd w:val="clear" w:color="auto" w:fill="auto"/>
          </w:tcPr>
          <w:p w:rsidR="0096734F" w:rsidRPr="009A10F2" w:rsidRDefault="0096734F" w:rsidP="0049276F">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Borders>
              <w:bottom w:val="nil"/>
            </w:tcBorders>
            <w:shd w:val="clear" w:color="auto" w:fill="auto"/>
          </w:tcPr>
          <w:p w:rsidR="0096734F" w:rsidRPr="00796398" w:rsidRDefault="0096734F" w:rsidP="0049276F">
            <w:pPr>
              <w:autoSpaceDE w:val="0"/>
              <w:autoSpaceDN w:val="0"/>
              <w:adjustRightInd w:val="0"/>
              <w:spacing w:beforeLines="60" w:afterLines="60"/>
              <w:ind w:left="360"/>
              <w:rPr>
                <w:rFonts w:ascii="Verdana" w:hAnsi="Verdana" w:cs="Arial"/>
                <w:b/>
                <w:sz w:val="20"/>
                <w:szCs w:val="20"/>
              </w:rPr>
            </w:pPr>
            <w:r w:rsidRPr="00796398">
              <w:rPr>
                <w:rFonts w:ascii="Verdana" w:hAnsi="Verdana" w:cs="Arial"/>
                <w:b/>
                <w:sz w:val="20"/>
                <w:szCs w:val="20"/>
              </w:rPr>
              <w:t xml:space="preserve">Waterfronts Florida Program </w:t>
            </w:r>
          </w:p>
          <w:p w:rsidR="0096734F" w:rsidRPr="009A10F2" w:rsidRDefault="0096734F" w:rsidP="0049276F">
            <w:pPr>
              <w:autoSpaceDE w:val="0"/>
              <w:autoSpaceDN w:val="0"/>
              <w:adjustRightInd w:val="0"/>
              <w:spacing w:beforeLines="60" w:afterLines="60"/>
              <w:ind w:left="360"/>
              <w:rPr>
                <w:rFonts w:ascii="Verdana" w:hAnsi="Verdana" w:cs="Arial"/>
                <w:sz w:val="20"/>
                <w:szCs w:val="20"/>
              </w:rPr>
            </w:pPr>
            <w:r w:rsidRPr="009A10F2">
              <w:rPr>
                <w:rFonts w:ascii="Verdana" w:hAnsi="Verdana" w:cs="Arial"/>
                <w:sz w:val="20"/>
                <w:szCs w:val="20"/>
              </w:rPr>
              <w:t>Provide working waterfronts across Florida with technical support and limited financial support to revitalize</w:t>
            </w:r>
            <w:r w:rsidR="004B13C5">
              <w:rPr>
                <w:rFonts w:ascii="Verdana" w:hAnsi="Verdana" w:cs="Arial"/>
                <w:sz w:val="20"/>
                <w:szCs w:val="20"/>
              </w:rPr>
              <w:t>,</w:t>
            </w:r>
            <w:r w:rsidRPr="009A10F2">
              <w:rPr>
                <w:rFonts w:ascii="Verdana" w:hAnsi="Verdana" w:cs="Arial"/>
                <w:sz w:val="20"/>
                <w:szCs w:val="20"/>
              </w:rPr>
              <w:t xml:space="preserve"> renew</w:t>
            </w:r>
            <w:r w:rsidR="004B13C5">
              <w:rPr>
                <w:rFonts w:ascii="Verdana" w:hAnsi="Verdana" w:cs="Arial"/>
                <w:sz w:val="20"/>
                <w:szCs w:val="20"/>
              </w:rPr>
              <w:t>,</w:t>
            </w:r>
            <w:r w:rsidRPr="009A10F2">
              <w:rPr>
                <w:rFonts w:ascii="Verdana" w:hAnsi="Verdana" w:cs="Arial"/>
                <w:sz w:val="20"/>
                <w:szCs w:val="20"/>
              </w:rPr>
              <w:t xml:space="preserve"> and promote interest in their waterfront districts</w:t>
            </w:r>
            <w:r w:rsidR="004B13C5">
              <w:rPr>
                <w:rFonts w:ascii="Verdana" w:hAnsi="Verdana" w:cs="Arial"/>
                <w:sz w:val="20"/>
                <w:szCs w:val="20"/>
              </w:rPr>
              <w:t xml:space="preserve">.  This program is funded in part by DEP, </w:t>
            </w:r>
            <w:r w:rsidRPr="009A10F2">
              <w:rPr>
                <w:rFonts w:ascii="Verdana" w:hAnsi="Verdana" w:cs="Arial"/>
                <w:sz w:val="20"/>
                <w:szCs w:val="20"/>
              </w:rPr>
              <w:t>Federal Coastal Management Program</w:t>
            </w:r>
            <w:r w:rsidR="004B13C5">
              <w:rPr>
                <w:rFonts w:ascii="Verdana" w:hAnsi="Verdana" w:cs="Arial"/>
                <w:sz w:val="20"/>
                <w:szCs w:val="20"/>
              </w:rPr>
              <w:t>, and the National Oceanic and Atmospheric Administration</w:t>
            </w:r>
            <w:r w:rsidRPr="009A10F2">
              <w:rPr>
                <w:rFonts w:ascii="Verdana" w:hAnsi="Verdana" w:cs="Arial"/>
                <w:sz w:val="20"/>
                <w:szCs w:val="20"/>
              </w:rPr>
              <w:t xml:space="preserve">. </w:t>
            </w:r>
          </w:p>
        </w:tc>
      </w:tr>
      <w:tr w:rsidR="0096734F" w:rsidRPr="009A10F2" w:rsidTr="00595DD9">
        <w:trPr>
          <w:cantSplit/>
          <w:trHeight w:val="470"/>
        </w:trPr>
        <w:tc>
          <w:tcPr>
            <w:tcW w:w="314" w:type="pct"/>
            <w:shd w:val="clear" w:color="auto" w:fill="auto"/>
          </w:tcPr>
          <w:p w:rsidR="0096734F" w:rsidRPr="009A10F2" w:rsidRDefault="0096734F" w:rsidP="0049276F">
            <w:pPr>
              <w:autoSpaceDE w:val="0"/>
              <w:autoSpaceDN w:val="0"/>
              <w:adjustRightInd w:val="0"/>
              <w:spacing w:beforeLines="60" w:afterLines="60"/>
              <w:rPr>
                <w:rFonts w:ascii="Verdana" w:hAnsi="Verdana" w:cs="Arial"/>
                <w:sz w:val="16"/>
                <w:szCs w:val="16"/>
              </w:rPr>
            </w:pPr>
          </w:p>
        </w:tc>
        <w:tc>
          <w:tcPr>
            <w:tcW w:w="380" w:type="pct"/>
            <w:shd w:val="clear" w:color="auto" w:fill="auto"/>
          </w:tcPr>
          <w:p w:rsidR="0096734F" w:rsidRPr="009A10F2" w:rsidRDefault="0096734F" w:rsidP="0049276F">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Borders>
              <w:top w:val="nil"/>
              <w:bottom w:val="nil"/>
            </w:tcBorders>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96734F" w:rsidRPr="009A10F2" w:rsidTr="00595DD9">
        <w:trPr>
          <w:cantSplit/>
          <w:trHeight w:val="470"/>
        </w:trPr>
        <w:tc>
          <w:tcPr>
            <w:tcW w:w="314" w:type="pct"/>
            <w:shd w:val="clear" w:color="auto" w:fill="auto"/>
          </w:tcPr>
          <w:p w:rsidR="0096734F" w:rsidRPr="009A10F2" w:rsidRDefault="0096734F" w:rsidP="0049276F">
            <w:pPr>
              <w:autoSpaceDE w:val="0"/>
              <w:autoSpaceDN w:val="0"/>
              <w:adjustRightInd w:val="0"/>
              <w:spacing w:beforeLines="60" w:afterLines="60"/>
              <w:rPr>
                <w:rFonts w:ascii="Verdana" w:hAnsi="Verdana" w:cs="Arial"/>
                <w:sz w:val="16"/>
                <w:szCs w:val="16"/>
              </w:rPr>
            </w:pPr>
          </w:p>
        </w:tc>
        <w:tc>
          <w:tcPr>
            <w:tcW w:w="380" w:type="pct"/>
            <w:shd w:val="clear" w:color="auto" w:fill="auto"/>
          </w:tcPr>
          <w:p w:rsidR="0096734F" w:rsidRPr="009A10F2" w:rsidRDefault="0096734F" w:rsidP="0049276F">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Borders>
              <w:top w:val="nil"/>
              <w:bottom w:val="nil"/>
            </w:tcBorders>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E17B66" w:rsidRPr="009A10F2" w:rsidTr="00595DD9">
        <w:trPr>
          <w:cantSplit/>
          <w:trHeight w:val="470"/>
        </w:trPr>
        <w:tc>
          <w:tcPr>
            <w:tcW w:w="694" w:type="pct"/>
            <w:gridSpan w:val="2"/>
            <w:shd w:val="clear" w:color="auto" w:fill="auto"/>
          </w:tcPr>
          <w:p w:rsidR="00E17B66" w:rsidRPr="009A10F2" w:rsidRDefault="00E17B66" w:rsidP="0049276F">
            <w:pPr>
              <w:spacing w:beforeLines="60" w:afterLines="60"/>
              <w:rPr>
                <w:rFonts w:ascii="Verdana" w:hAnsi="Verdana" w:cs="Arial"/>
                <w:i/>
                <w:sz w:val="16"/>
                <w:szCs w:val="16"/>
              </w:rPr>
            </w:pPr>
          </w:p>
        </w:tc>
        <w:tc>
          <w:tcPr>
            <w:tcW w:w="4306" w:type="pct"/>
            <w:tcBorders>
              <w:top w:val="nil"/>
              <w:bottom w:val="single" w:sz="4" w:space="0" w:color="auto"/>
            </w:tcBorders>
            <w:shd w:val="clear" w:color="auto" w:fill="auto"/>
          </w:tcPr>
          <w:p w:rsidR="00B0490C" w:rsidRPr="009A10F2" w:rsidRDefault="00BF650F" w:rsidP="0049276F">
            <w:pPr>
              <w:autoSpaceDE w:val="0"/>
              <w:autoSpaceDN w:val="0"/>
              <w:adjustRightInd w:val="0"/>
              <w:spacing w:beforeLines="60" w:afterLines="60"/>
              <w:ind w:left="360"/>
              <w:rPr>
                <w:rFonts w:ascii="Verdana" w:hAnsi="Verdana" w:cs="Arial"/>
                <w:sz w:val="20"/>
                <w:szCs w:val="20"/>
              </w:rPr>
            </w:pPr>
            <w:r w:rsidRPr="00D76511">
              <w:rPr>
                <w:rFonts w:ascii="Verdana" w:hAnsi="Verdana" w:cs="Arial"/>
                <w:i/>
                <w:sz w:val="20"/>
                <w:szCs w:val="20"/>
              </w:rPr>
              <w:t>Performance</w:t>
            </w:r>
            <w:r w:rsidR="00B23B36">
              <w:rPr>
                <w:rFonts w:ascii="Verdana" w:hAnsi="Verdana" w:cs="Arial"/>
                <w:i/>
                <w:sz w:val="20"/>
                <w:szCs w:val="20"/>
              </w:rPr>
              <w:t xml:space="preserve"> measure</w:t>
            </w:r>
            <w:r w:rsidR="003352D8">
              <w:rPr>
                <w:rFonts w:ascii="Verdana" w:hAnsi="Verdana" w:cs="Arial"/>
                <w:i/>
                <w:sz w:val="20"/>
                <w:szCs w:val="20"/>
              </w:rPr>
              <w:t>s</w:t>
            </w:r>
            <w:r w:rsidR="00E17B66" w:rsidRPr="00D76511">
              <w:rPr>
                <w:rFonts w:ascii="Verdana" w:hAnsi="Verdana" w:cs="Arial"/>
                <w:i/>
                <w:sz w:val="20"/>
                <w:szCs w:val="20"/>
              </w:rPr>
              <w:t>:</w:t>
            </w:r>
            <w:r w:rsidR="00B0490C" w:rsidRPr="00BF650F">
              <w:rPr>
                <w:rFonts w:ascii="Verdana" w:hAnsi="Verdana" w:cs="Arial"/>
                <w:sz w:val="20"/>
                <w:szCs w:val="20"/>
              </w:rPr>
              <w:t xml:space="preserve"> Between 1997 and 2009, the Department designated 23 Waterfronts Florida</w:t>
            </w:r>
            <w:r>
              <w:rPr>
                <w:rFonts w:ascii="Verdana" w:hAnsi="Verdana" w:cs="Arial"/>
                <w:sz w:val="20"/>
                <w:szCs w:val="20"/>
              </w:rPr>
              <w:t xml:space="preserve"> </w:t>
            </w:r>
            <w:r w:rsidR="00B0490C" w:rsidRPr="00BF650F">
              <w:rPr>
                <w:rFonts w:ascii="Verdana" w:hAnsi="Verdana" w:cs="Arial"/>
                <w:sz w:val="20"/>
                <w:szCs w:val="20"/>
              </w:rPr>
              <w:t>Partnership Communities, each of which received or will receive two years of technical and</w:t>
            </w:r>
            <w:r>
              <w:rPr>
                <w:rFonts w:ascii="Verdana" w:hAnsi="Verdana" w:cs="Arial"/>
                <w:sz w:val="20"/>
                <w:szCs w:val="20"/>
              </w:rPr>
              <w:t xml:space="preserve"> </w:t>
            </w:r>
            <w:r w:rsidR="00B0490C" w:rsidRPr="00BF650F">
              <w:rPr>
                <w:rFonts w:ascii="Verdana" w:hAnsi="Verdana" w:cs="Arial"/>
                <w:sz w:val="20"/>
                <w:szCs w:val="20"/>
              </w:rPr>
              <w:t>financial assistance.</w:t>
            </w:r>
          </w:p>
        </w:tc>
      </w:tr>
    </w:tbl>
    <w:p w:rsidR="0020293E" w:rsidRDefault="0020293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96734F" w:rsidRPr="009A10F2" w:rsidTr="00595DD9">
        <w:trPr>
          <w:cantSplit/>
          <w:trHeight w:val="470"/>
        </w:trPr>
        <w:tc>
          <w:tcPr>
            <w:tcW w:w="314" w:type="pct"/>
            <w:shd w:val="clear" w:color="auto" w:fill="auto"/>
          </w:tcPr>
          <w:p w:rsidR="0096734F" w:rsidRPr="009A10F2" w:rsidRDefault="00E9714D" w:rsidP="0049276F">
            <w:pPr>
              <w:spacing w:beforeLines="60" w:afterLines="60"/>
              <w:jc w:val="center"/>
              <w:rPr>
                <w:rFonts w:ascii="Verdana" w:hAnsi="Verdana" w:cs="Arial"/>
                <w:sz w:val="16"/>
                <w:szCs w:val="16"/>
              </w:rPr>
            </w:pPr>
            <w:r>
              <w:lastRenderedPageBreak/>
              <w:br w:type="page"/>
            </w:r>
          </w:p>
        </w:tc>
        <w:tc>
          <w:tcPr>
            <w:tcW w:w="380" w:type="pct"/>
            <w:shd w:val="clear" w:color="auto" w:fill="auto"/>
          </w:tcPr>
          <w:p w:rsidR="0096734F" w:rsidRPr="009A10F2" w:rsidRDefault="0096734F"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Borders>
              <w:bottom w:val="nil"/>
            </w:tcBorders>
            <w:shd w:val="clear" w:color="auto" w:fill="auto"/>
          </w:tcPr>
          <w:p w:rsidR="0096734F" w:rsidRPr="00796398" w:rsidRDefault="0096734F" w:rsidP="0049276F">
            <w:pPr>
              <w:autoSpaceDE w:val="0"/>
              <w:autoSpaceDN w:val="0"/>
              <w:adjustRightInd w:val="0"/>
              <w:spacing w:beforeLines="60" w:afterLines="60"/>
              <w:ind w:left="360"/>
              <w:rPr>
                <w:rFonts w:ascii="Verdana" w:hAnsi="Verdana" w:cs="Arial"/>
                <w:b/>
                <w:sz w:val="20"/>
                <w:szCs w:val="20"/>
              </w:rPr>
            </w:pPr>
            <w:r w:rsidRPr="00796398">
              <w:rPr>
                <w:rFonts w:ascii="Verdana" w:hAnsi="Verdana" w:cs="Arial"/>
                <w:b/>
                <w:sz w:val="20"/>
                <w:szCs w:val="20"/>
              </w:rPr>
              <w:t xml:space="preserve">Military Base Encroachment </w:t>
            </w:r>
          </w:p>
          <w:p w:rsidR="004B13C5" w:rsidRPr="009A10F2" w:rsidRDefault="0096734F" w:rsidP="0049276F">
            <w:pPr>
              <w:autoSpaceDE w:val="0"/>
              <w:autoSpaceDN w:val="0"/>
              <w:adjustRightInd w:val="0"/>
              <w:spacing w:beforeLines="60" w:afterLines="60"/>
              <w:ind w:left="360"/>
              <w:rPr>
                <w:rFonts w:ascii="Verdana" w:hAnsi="Verdana" w:cs="Arial"/>
                <w:sz w:val="20"/>
                <w:szCs w:val="20"/>
              </w:rPr>
            </w:pPr>
            <w:r w:rsidRPr="009A10F2">
              <w:rPr>
                <w:rFonts w:ascii="Verdana" w:hAnsi="Verdana" w:cs="Arial"/>
                <w:sz w:val="20"/>
                <w:szCs w:val="20"/>
              </w:rPr>
              <w:t xml:space="preserve">Provides oversight of </w:t>
            </w:r>
            <w:r w:rsidR="004B13C5">
              <w:rPr>
                <w:rFonts w:ascii="Verdana" w:hAnsi="Verdana" w:cs="Arial"/>
                <w:sz w:val="20"/>
                <w:szCs w:val="20"/>
              </w:rPr>
              <w:t xml:space="preserve">local </w:t>
            </w:r>
            <w:r w:rsidRPr="009A10F2">
              <w:rPr>
                <w:rFonts w:ascii="Verdana" w:hAnsi="Verdana" w:cs="Arial"/>
                <w:sz w:val="20"/>
                <w:szCs w:val="20"/>
              </w:rPr>
              <w:t>comprehensive planning decisions and assists communities near military bases with technical assistance and land use planning strategies to ensure local government compatibility of development with major military installations</w:t>
            </w:r>
            <w:r w:rsidR="004B13C5">
              <w:rPr>
                <w:rFonts w:ascii="Verdana" w:hAnsi="Verdana" w:cs="Arial"/>
                <w:sz w:val="20"/>
                <w:szCs w:val="20"/>
              </w:rPr>
              <w:t>.  The goal of the program is to protect military bases from encroachment of incompatible land uses which can interfere with flight operations, live fire training, and other mission-essential activities.</w:t>
            </w:r>
            <w:r w:rsidRPr="009A10F2">
              <w:rPr>
                <w:rFonts w:ascii="Verdana" w:hAnsi="Verdana" w:cs="Arial"/>
                <w:sz w:val="20"/>
                <w:szCs w:val="20"/>
              </w:rPr>
              <w:t xml:space="preserve"> </w:t>
            </w:r>
          </w:p>
        </w:tc>
      </w:tr>
      <w:tr w:rsidR="0096734F" w:rsidRPr="009A10F2" w:rsidTr="00595DD9">
        <w:trPr>
          <w:cantSplit/>
          <w:trHeight w:val="470"/>
        </w:trPr>
        <w:tc>
          <w:tcPr>
            <w:tcW w:w="314" w:type="pct"/>
            <w:shd w:val="clear" w:color="auto" w:fill="auto"/>
          </w:tcPr>
          <w:p w:rsidR="0096734F" w:rsidRPr="009A10F2" w:rsidRDefault="0096734F" w:rsidP="0049276F">
            <w:pPr>
              <w:spacing w:beforeLines="60" w:afterLines="60"/>
              <w:rPr>
                <w:rFonts w:ascii="Verdana" w:hAnsi="Verdana" w:cs="Arial"/>
                <w:sz w:val="16"/>
                <w:szCs w:val="16"/>
              </w:rPr>
            </w:pPr>
          </w:p>
        </w:tc>
        <w:tc>
          <w:tcPr>
            <w:tcW w:w="380" w:type="pct"/>
            <w:shd w:val="clear" w:color="auto" w:fill="auto"/>
          </w:tcPr>
          <w:p w:rsidR="0096734F" w:rsidRPr="009A10F2" w:rsidRDefault="0096734F"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Borders>
              <w:top w:val="nil"/>
              <w:bottom w:val="nil"/>
            </w:tcBorders>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96734F" w:rsidRPr="009A10F2" w:rsidTr="00595DD9">
        <w:trPr>
          <w:cantSplit/>
          <w:trHeight w:val="470"/>
        </w:trPr>
        <w:tc>
          <w:tcPr>
            <w:tcW w:w="314" w:type="pct"/>
            <w:shd w:val="clear" w:color="auto" w:fill="auto"/>
          </w:tcPr>
          <w:p w:rsidR="0096734F" w:rsidRPr="009A10F2" w:rsidRDefault="0096734F" w:rsidP="0049276F">
            <w:pPr>
              <w:spacing w:beforeLines="60" w:afterLines="60"/>
              <w:rPr>
                <w:rFonts w:ascii="Verdana" w:hAnsi="Verdana" w:cs="Arial"/>
                <w:sz w:val="16"/>
                <w:szCs w:val="16"/>
              </w:rPr>
            </w:pPr>
          </w:p>
        </w:tc>
        <w:tc>
          <w:tcPr>
            <w:tcW w:w="380" w:type="pct"/>
            <w:shd w:val="clear" w:color="auto" w:fill="auto"/>
          </w:tcPr>
          <w:p w:rsidR="0096734F" w:rsidRPr="009A10F2" w:rsidRDefault="0096734F"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Borders>
              <w:top w:val="nil"/>
              <w:bottom w:val="nil"/>
            </w:tcBorders>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E17B66" w:rsidRPr="009A10F2" w:rsidTr="00595DD9">
        <w:trPr>
          <w:cantSplit/>
          <w:trHeight w:val="470"/>
        </w:trPr>
        <w:tc>
          <w:tcPr>
            <w:tcW w:w="694" w:type="pct"/>
            <w:gridSpan w:val="2"/>
            <w:shd w:val="clear" w:color="auto" w:fill="auto"/>
          </w:tcPr>
          <w:p w:rsidR="00E17B66" w:rsidRPr="009A10F2" w:rsidRDefault="00E17B66" w:rsidP="0049276F">
            <w:pPr>
              <w:spacing w:beforeLines="60" w:afterLines="60"/>
              <w:rPr>
                <w:rFonts w:ascii="Verdana" w:hAnsi="Verdana" w:cs="Arial"/>
                <w:i/>
                <w:sz w:val="16"/>
                <w:szCs w:val="16"/>
              </w:rPr>
            </w:pPr>
          </w:p>
        </w:tc>
        <w:tc>
          <w:tcPr>
            <w:tcW w:w="4306" w:type="pct"/>
            <w:tcBorders>
              <w:top w:val="nil"/>
              <w:bottom w:val="single" w:sz="4" w:space="0" w:color="auto"/>
            </w:tcBorders>
            <w:shd w:val="clear" w:color="auto" w:fill="auto"/>
          </w:tcPr>
          <w:p w:rsidR="00B0490C" w:rsidRDefault="00E17B66" w:rsidP="0049276F">
            <w:pPr>
              <w:autoSpaceDE w:val="0"/>
              <w:autoSpaceDN w:val="0"/>
              <w:adjustRightInd w:val="0"/>
              <w:spacing w:beforeLines="60" w:afterLines="60"/>
              <w:ind w:left="360"/>
              <w:rPr>
                <w:rFonts w:ascii="Verdana" w:hAnsi="Verdana" w:cs="Arial"/>
                <w:sz w:val="20"/>
                <w:szCs w:val="20"/>
              </w:rPr>
            </w:pPr>
            <w:r w:rsidRPr="00D76511">
              <w:rPr>
                <w:rFonts w:ascii="Verdana" w:hAnsi="Verdana" w:cs="Arial"/>
                <w:i/>
                <w:sz w:val="20"/>
                <w:szCs w:val="20"/>
              </w:rPr>
              <w:t>Performance</w:t>
            </w:r>
            <w:r w:rsidR="00B23B36">
              <w:rPr>
                <w:rFonts w:ascii="Verdana" w:hAnsi="Verdana" w:cs="Arial"/>
                <w:i/>
                <w:sz w:val="20"/>
                <w:szCs w:val="20"/>
              </w:rPr>
              <w:t xml:space="preserve"> measures</w:t>
            </w:r>
            <w:r w:rsidRPr="00D76511">
              <w:rPr>
                <w:rFonts w:ascii="Verdana" w:hAnsi="Verdana" w:cs="Arial"/>
                <w:i/>
                <w:sz w:val="20"/>
                <w:szCs w:val="20"/>
              </w:rPr>
              <w:t>:</w:t>
            </w:r>
            <w:r w:rsidR="00B0490C">
              <w:rPr>
                <w:rFonts w:ascii="Verdana" w:hAnsi="Verdana" w:cs="Arial"/>
                <w:sz w:val="20"/>
                <w:szCs w:val="20"/>
              </w:rPr>
              <w:t xml:space="preserve"> </w:t>
            </w:r>
            <w:r w:rsidR="00B0490C" w:rsidRPr="00B0490C">
              <w:rPr>
                <w:rFonts w:ascii="Verdana" w:hAnsi="Verdana" w:cs="Arial"/>
                <w:sz w:val="20"/>
                <w:szCs w:val="20"/>
              </w:rPr>
              <w:t>Since 2003 the Department of Community Affairs has worked with Florida’s 38 affected local</w:t>
            </w:r>
            <w:r w:rsidR="00B0490C">
              <w:rPr>
                <w:rFonts w:ascii="Verdana" w:hAnsi="Verdana" w:cs="Arial"/>
                <w:sz w:val="20"/>
                <w:szCs w:val="20"/>
              </w:rPr>
              <w:t xml:space="preserve"> </w:t>
            </w:r>
            <w:r w:rsidR="00B0490C" w:rsidRPr="00B0490C">
              <w:rPr>
                <w:rFonts w:ascii="Verdana" w:hAnsi="Verdana" w:cs="Arial"/>
                <w:sz w:val="20"/>
                <w:szCs w:val="20"/>
              </w:rPr>
              <w:t>governments (20 counties and 18 municipalities) and 14 major military installation base</w:t>
            </w:r>
            <w:r w:rsidR="00B0490C">
              <w:rPr>
                <w:rFonts w:ascii="Verdana" w:hAnsi="Verdana" w:cs="Arial"/>
                <w:sz w:val="20"/>
                <w:szCs w:val="20"/>
              </w:rPr>
              <w:t xml:space="preserve"> </w:t>
            </w:r>
            <w:r w:rsidR="00B0490C" w:rsidRPr="00B0490C">
              <w:rPr>
                <w:rFonts w:ascii="Verdana" w:hAnsi="Verdana" w:cs="Arial"/>
                <w:sz w:val="20"/>
                <w:szCs w:val="20"/>
              </w:rPr>
              <w:t>commanders to address land use encroachment issues.</w:t>
            </w:r>
          </w:p>
        </w:tc>
      </w:tr>
      <w:tr w:rsidR="00D76511" w:rsidRPr="009A10F2" w:rsidTr="00D76511">
        <w:trPr>
          <w:cantSplit/>
          <w:trHeight w:val="470"/>
        </w:trPr>
        <w:tc>
          <w:tcPr>
            <w:tcW w:w="314" w:type="pct"/>
            <w:shd w:val="clear" w:color="auto" w:fill="auto"/>
          </w:tcPr>
          <w:p w:rsidR="00D76511" w:rsidRPr="009A10F2" w:rsidRDefault="00D76511" w:rsidP="0049276F">
            <w:pPr>
              <w:spacing w:beforeLines="60" w:afterLines="60"/>
              <w:jc w:val="center"/>
              <w:rPr>
                <w:rFonts w:ascii="Verdana" w:hAnsi="Verdana" w:cs="Arial"/>
                <w:sz w:val="16"/>
                <w:szCs w:val="16"/>
              </w:rPr>
            </w:pPr>
          </w:p>
        </w:tc>
        <w:tc>
          <w:tcPr>
            <w:tcW w:w="380" w:type="pct"/>
            <w:shd w:val="clear" w:color="auto" w:fill="auto"/>
          </w:tcPr>
          <w:p w:rsidR="00D76511" w:rsidRPr="009A10F2" w:rsidRDefault="00D76511"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auto"/>
          </w:tcPr>
          <w:p w:rsidR="00D76511" w:rsidRPr="003E603F" w:rsidRDefault="00D76511" w:rsidP="0049276F">
            <w:pPr>
              <w:autoSpaceDE w:val="0"/>
              <w:autoSpaceDN w:val="0"/>
              <w:adjustRightInd w:val="0"/>
              <w:spacing w:beforeLines="60" w:afterLines="60"/>
              <w:ind w:left="360"/>
              <w:rPr>
                <w:rFonts w:ascii="Verdana" w:hAnsi="Verdana" w:cs="Arial"/>
                <w:b/>
                <w:sz w:val="20"/>
                <w:szCs w:val="20"/>
              </w:rPr>
            </w:pPr>
            <w:r w:rsidRPr="003E603F">
              <w:rPr>
                <w:rFonts w:ascii="Verdana" w:hAnsi="Verdana" w:cs="Arial"/>
                <w:b/>
                <w:sz w:val="20"/>
                <w:szCs w:val="20"/>
              </w:rPr>
              <w:t>Wekiva Parkway and Protection Program</w:t>
            </w:r>
          </w:p>
          <w:p w:rsidR="00D76511" w:rsidRDefault="00D76511" w:rsidP="0049276F">
            <w:pPr>
              <w:autoSpaceDE w:val="0"/>
              <w:autoSpaceDN w:val="0"/>
              <w:adjustRightInd w:val="0"/>
              <w:spacing w:beforeLines="60" w:afterLines="60"/>
              <w:ind w:left="360"/>
              <w:rPr>
                <w:rFonts w:ascii="Verdana" w:hAnsi="Verdana"/>
                <w:sz w:val="20"/>
                <w:szCs w:val="20"/>
              </w:rPr>
            </w:pPr>
            <w:r>
              <w:rPr>
                <w:rFonts w:ascii="Verdana" w:hAnsi="Verdana" w:cs="Arial"/>
                <w:sz w:val="20"/>
                <w:szCs w:val="20"/>
              </w:rPr>
              <w:t xml:space="preserve">This act provides comprehensive protection to the Wekiva River system by requiring local comprehensive plans to address a number of issues including; </w:t>
            </w:r>
            <w:r w:rsidRPr="00BA38D1">
              <w:rPr>
                <w:rFonts w:ascii="Verdana" w:hAnsi="Verdana"/>
                <w:sz w:val="20"/>
                <w:szCs w:val="20"/>
              </w:rPr>
              <w:t>master storm water management plan</w:t>
            </w:r>
            <w:r>
              <w:rPr>
                <w:rFonts w:ascii="Verdana" w:hAnsi="Verdana"/>
                <w:sz w:val="20"/>
                <w:szCs w:val="20"/>
              </w:rPr>
              <w:t>s,</w:t>
            </w:r>
            <w:r w:rsidRPr="00BA38D1">
              <w:rPr>
                <w:rFonts w:ascii="Verdana" w:hAnsi="Verdana"/>
                <w:sz w:val="20"/>
                <w:szCs w:val="20"/>
              </w:rPr>
              <w:t xml:space="preserve"> water conserving landscaping</w:t>
            </w:r>
            <w:r>
              <w:rPr>
                <w:rFonts w:ascii="Verdana" w:hAnsi="Verdana"/>
                <w:sz w:val="20"/>
                <w:szCs w:val="20"/>
              </w:rPr>
              <w:t>,</w:t>
            </w:r>
            <w:r w:rsidRPr="00BA38D1">
              <w:rPr>
                <w:rFonts w:ascii="Verdana" w:hAnsi="Verdana"/>
                <w:sz w:val="20"/>
                <w:szCs w:val="20"/>
              </w:rPr>
              <w:t xml:space="preserve"> optimize</w:t>
            </w:r>
            <w:r w:rsidR="000143DF">
              <w:rPr>
                <w:rFonts w:ascii="Verdana" w:hAnsi="Verdana"/>
                <w:sz w:val="20"/>
                <w:szCs w:val="20"/>
              </w:rPr>
              <w:t>d</w:t>
            </w:r>
            <w:r w:rsidRPr="00BA38D1">
              <w:rPr>
                <w:rFonts w:ascii="Verdana" w:hAnsi="Verdana"/>
                <w:sz w:val="20"/>
                <w:szCs w:val="20"/>
              </w:rPr>
              <w:t xml:space="preserve"> open space</w:t>
            </w:r>
            <w:r>
              <w:rPr>
                <w:rFonts w:ascii="Verdana" w:hAnsi="Verdana"/>
                <w:sz w:val="20"/>
                <w:szCs w:val="20"/>
              </w:rPr>
              <w:t xml:space="preserve">, protecting </w:t>
            </w:r>
            <w:r w:rsidRPr="00BA38D1">
              <w:rPr>
                <w:rFonts w:ascii="Verdana" w:hAnsi="Verdana"/>
                <w:sz w:val="20"/>
                <w:szCs w:val="20"/>
              </w:rPr>
              <w:t>recharge areas, and sensitive natural habitats</w:t>
            </w:r>
            <w:r>
              <w:rPr>
                <w:rFonts w:ascii="Verdana" w:hAnsi="Verdana"/>
                <w:sz w:val="20"/>
                <w:szCs w:val="20"/>
              </w:rPr>
              <w:t xml:space="preserve">. </w:t>
            </w:r>
          </w:p>
          <w:p w:rsidR="00D76511" w:rsidRPr="009A10F2" w:rsidRDefault="00D76511" w:rsidP="0049276F">
            <w:pPr>
              <w:autoSpaceDE w:val="0"/>
              <w:autoSpaceDN w:val="0"/>
              <w:adjustRightInd w:val="0"/>
              <w:spacing w:beforeLines="60" w:afterLines="60"/>
              <w:ind w:left="360"/>
              <w:rPr>
                <w:rFonts w:ascii="Verdana" w:hAnsi="Verdana" w:cs="Arial"/>
                <w:sz w:val="20"/>
                <w:szCs w:val="20"/>
              </w:rPr>
            </w:pPr>
            <w:r w:rsidRPr="00BF650F">
              <w:rPr>
                <w:rFonts w:ascii="Verdana" w:hAnsi="Verdana" w:cs="Arial"/>
                <w:sz w:val="20"/>
                <w:szCs w:val="20"/>
              </w:rPr>
              <w:t xml:space="preserve">The Division </w:t>
            </w:r>
            <w:r w:rsidR="000143DF">
              <w:rPr>
                <w:rFonts w:ascii="Verdana" w:hAnsi="Verdana" w:cs="Arial"/>
                <w:sz w:val="20"/>
                <w:szCs w:val="20"/>
              </w:rPr>
              <w:t xml:space="preserve">provides technical assistance to the 15 local governments in the Wekiva study </w:t>
            </w:r>
            <w:r w:rsidR="003D1752">
              <w:rPr>
                <w:rFonts w:ascii="Verdana" w:hAnsi="Verdana" w:cs="Arial"/>
                <w:sz w:val="20"/>
                <w:szCs w:val="20"/>
              </w:rPr>
              <w:t>area</w:t>
            </w:r>
            <w:r w:rsidR="000143DF">
              <w:rPr>
                <w:rFonts w:ascii="Verdana" w:hAnsi="Verdana" w:cs="Arial"/>
                <w:sz w:val="20"/>
                <w:szCs w:val="20"/>
              </w:rPr>
              <w:t xml:space="preserve"> conducts formal reviews of required comprehensive plan amendments and serves on the Wekiva </w:t>
            </w:r>
            <w:r w:rsidR="003352D8">
              <w:rPr>
                <w:rFonts w:ascii="Verdana" w:hAnsi="Verdana" w:cs="Arial"/>
                <w:sz w:val="20"/>
                <w:szCs w:val="20"/>
              </w:rPr>
              <w:t>R</w:t>
            </w:r>
            <w:r w:rsidR="000143DF">
              <w:rPr>
                <w:rFonts w:ascii="Verdana" w:hAnsi="Verdana" w:cs="Arial"/>
                <w:sz w:val="20"/>
                <w:szCs w:val="20"/>
              </w:rPr>
              <w:t>iver Commission.</w:t>
            </w:r>
          </w:p>
        </w:tc>
      </w:tr>
      <w:tr w:rsidR="00D76511" w:rsidRPr="009A10F2" w:rsidTr="00D76511">
        <w:trPr>
          <w:cantSplit/>
          <w:trHeight w:val="470"/>
        </w:trPr>
        <w:tc>
          <w:tcPr>
            <w:tcW w:w="314" w:type="pct"/>
            <w:shd w:val="clear" w:color="auto" w:fill="auto"/>
          </w:tcPr>
          <w:p w:rsidR="00D76511" w:rsidRPr="009A10F2" w:rsidRDefault="00D76511" w:rsidP="0049276F">
            <w:pPr>
              <w:spacing w:beforeLines="60" w:afterLines="60"/>
              <w:rPr>
                <w:rFonts w:ascii="Verdana" w:hAnsi="Verdana" w:cs="Arial"/>
                <w:sz w:val="16"/>
                <w:szCs w:val="16"/>
              </w:rPr>
            </w:pPr>
          </w:p>
        </w:tc>
        <w:tc>
          <w:tcPr>
            <w:tcW w:w="380" w:type="pct"/>
            <w:shd w:val="clear" w:color="auto" w:fill="auto"/>
          </w:tcPr>
          <w:p w:rsidR="00D76511" w:rsidRPr="009A10F2" w:rsidRDefault="00D76511"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D76511" w:rsidRPr="009A10F2" w:rsidTr="00D76511">
        <w:trPr>
          <w:cantSplit/>
          <w:trHeight w:val="580"/>
        </w:trPr>
        <w:tc>
          <w:tcPr>
            <w:tcW w:w="314" w:type="pct"/>
            <w:tcBorders>
              <w:bottom w:val="single" w:sz="4" w:space="0" w:color="auto"/>
            </w:tcBorders>
            <w:shd w:val="clear" w:color="auto" w:fill="auto"/>
          </w:tcPr>
          <w:p w:rsidR="00D76511" w:rsidRPr="009A10F2" w:rsidRDefault="00D76511" w:rsidP="0049276F">
            <w:pPr>
              <w:spacing w:beforeLines="60" w:afterLines="60"/>
              <w:rPr>
                <w:rFonts w:ascii="Verdana" w:hAnsi="Verdana" w:cs="Arial"/>
                <w:i/>
                <w:sz w:val="16"/>
                <w:szCs w:val="16"/>
              </w:rPr>
            </w:pPr>
          </w:p>
        </w:tc>
        <w:tc>
          <w:tcPr>
            <w:tcW w:w="380" w:type="pct"/>
            <w:tcBorders>
              <w:bottom w:val="single" w:sz="4" w:space="0" w:color="auto"/>
            </w:tcBorders>
            <w:shd w:val="clear" w:color="auto" w:fill="auto"/>
          </w:tcPr>
          <w:p w:rsidR="00D76511" w:rsidRPr="009A10F2" w:rsidRDefault="00D76511"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D76511" w:rsidRPr="009A10F2" w:rsidTr="00D76511">
        <w:trPr>
          <w:cantSplit/>
          <w:trHeight w:val="579"/>
        </w:trPr>
        <w:tc>
          <w:tcPr>
            <w:tcW w:w="314" w:type="pct"/>
            <w:tcBorders>
              <w:right w:val="nil"/>
            </w:tcBorders>
            <w:shd w:val="clear" w:color="auto" w:fill="auto"/>
          </w:tcPr>
          <w:p w:rsidR="00D76511" w:rsidRPr="009A10F2" w:rsidRDefault="00D76511" w:rsidP="0049276F">
            <w:pPr>
              <w:spacing w:beforeLines="60" w:afterLines="60"/>
              <w:rPr>
                <w:rFonts w:ascii="Verdana" w:hAnsi="Verdana" w:cs="Arial"/>
                <w:i/>
                <w:sz w:val="16"/>
                <w:szCs w:val="16"/>
              </w:rPr>
            </w:pPr>
          </w:p>
        </w:tc>
        <w:tc>
          <w:tcPr>
            <w:tcW w:w="380" w:type="pct"/>
            <w:tcBorders>
              <w:left w:val="nil"/>
            </w:tcBorders>
            <w:shd w:val="clear" w:color="auto" w:fill="auto"/>
          </w:tcPr>
          <w:p w:rsidR="00D76511" w:rsidRPr="009A10F2" w:rsidRDefault="00D76511" w:rsidP="0049276F">
            <w:pPr>
              <w:spacing w:beforeLines="60" w:afterLines="60"/>
              <w:rPr>
                <w:rFonts w:ascii="Verdana" w:hAnsi="Verdana" w:cs="Arial"/>
                <w:i/>
                <w:sz w:val="16"/>
                <w:szCs w:val="16"/>
              </w:rPr>
            </w:pPr>
          </w:p>
        </w:tc>
        <w:tc>
          <w:tcPr>
            <w:tcW w:w="4306" w:type="pct"/>
            <w:vMerge/>
            <w:tcBorders>
              <w:bottom w:val="nil"/>
            </w:tcBorders>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4B13C5" w:rsidRPr="009A10F2" w:rsidTr="00595DD9">
        <w:trPr>
          <w:cantSplit/>
          <w:trHeight w:val="193"/>
        </w:trPr>
        <w:tc>
          <w:tcPr>
            <w:tcW w:w="314" w:type="pct"/>
            <w:shd w:val="clear" w:color="auto" w:fill="auto"/>
          </w:tcPr>
          <w:p w:rsidR="004B13C5" w:rsidRPr="009A10F2" w:rsidRDefault="004B13C5" w:rsidP="0049276F">
            <w:pPr>
              <w:spacing w:beforeLines="60" w:afterLines="60"/>
              <w:jc w:val="center"/>
              <w:rPr>
                <w:rFonts w:ascii="Verdana" w:hAnsi="Verdana" w:cs="Arial"/>
                <w:i/>
                <w:sz w:val="16"/>
                <w:szCs w:val="16"/>
              </w:rPr>
            </w:pPr>
          </w:p>
        </w:tc>
        <w:tc>
          <w:tcPr>
            <w:tcW w:w="380" w:type="pct"/>
            <w:shd w:val="clear" w:color="auto" w:fill="auto"/>
          </w:tcPr>
          <w:p w:rsidR="004B13C5" w:rsidRPr="009A10F2" w:rsidRDefault="004B13C5" w:rsidP="0049276F">
            <w:pPr>
              <w:spacing w:beforeLines="60" w:afterLines="60"/>
              <w:rPr>
                <w:rFonts w:ascii="Verdana" w:hAnsi="Verdana" w:cs="Arial"/>
                <w:i/>
                <w:sz w:val="16"/>
                <w:szCs w:val="16"/>
              </w:rPr>
            </w:pPr>
            <w:r>
              <w:rPr>
                <w:rFonts w:ascii="Verdana" w:hAnsi="Verdana" w:cs="Arial"/>
                <w:i/>
                <w:sz w:val="16"/>
                <w:szCs w:val="16"/>
              </w:rPr>
              <w:t>Continue</w:t>
            </w:r>
          </w:p>
        </w:tc>
        <w:tc>
          <w:tcPr>
            <w:tcW w:w="4306" w:type="pct"/>
            <w:vMerge w:val="restart"/>
            <w:tcBorders>
              <w:bottom w:val="nil"/>
            </w:tcBorders>
            <w:shd w:val="clear" w:color="auto" w:fill="auto"/>
          </w:tcPr>
          <w:p w:rsidR="002A3305" w:rsidRPr="003E603F" w:rsidRDefault="002A3305" w:rsidP="0049276F">
            <w:pPr>
              <w:autoSpaceDE w:val="0"/>
              <w:autoSpaceDN w:val="0"/>
              <w:adjustRightInd w:val="0"/>
              <w:spacing w:beforeLines="60" w:afterLines="60"/>
              <w:ind w:left="360"/>
              <w:rPr>
                <w:rFonts w:ascii="Verdana" w:hAnsi="Verdana" w:cs="Arial"/>
                <w:b/>
                <w:sz w:val="20"/>
                <w:szCs w:val="20"/>
              </w:rPr>
            </w:pPr>
            <w:r w:rsidRPr="003E603F">
              <w:rPr>
                <w:rFonts w:ascii="Verdana" w:hAnsi="Verdana" w:cs="Arial"/>
                <w:b/>
                <w:sz w:val="20"/>
                <w:szCs w:val="20"/>
              </w:rPr>
              <w:t>Technical Assistance to Local Governments</w:t>
            </w:r>
          </w:p>
          <w:p w:rsidR="00345CF3" w:rsidRDefault="004C690E"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The Division p</w:t>
            </w:r>
            <w:r w:rsidR="002A3305">
              <w:rPr>
                <w:rFonts w:ascii="Verdana" w:hAnsi="Verdana" w:cs="Arial"/>
                <w:sz w:val="20"/>
                <w:szCs w:val="20"/>
              </w:rPr>
              <w:t>rovides technical assistance to local governments and regional planning councils on a variety of topics that are under the department.</w:t>
            </w:r>
            <w:r w:rsidR="00345CF3">
              <w:rPr>
                <w:rFonts w:ascii="Verdana" w:hAnsi="Verdana" w:cs="Arial"/>
                <w:sz w:val="20"/>
                <w:szCs w:val="20"/>
              </w:rPr>
              <w:t xml:space="preserve"> </w:t>
            </w:r>
            <w:r w:rsidR="003E603F">
              <w:rPr>
                <w:rFonts w:ascii="Verdana" w:hAnsi="Verdana" w:cs="Arial"/>
                <w:sz w:val="20"/>
                <w:szCs w:val="20"/>
              </w:rPr>
              <w:t xml:space="preserve"> </w:t>
            </w:r>
          </w:p>
          <w:p w:rsidR="004B13C5" w:rsidRPr="009A10F2" w:rsidRDefault="007421E5" w:rsidP="0049276F">
            <w:pPr>
              <w:autoSpaceDE w:val="0"/>
              <w:autoSpaceDN w:val="0"/>
              <w:adjustRightInd w:val="0"/>
              <w:spacing w:beforeLines="60" w:afterLines="60"/>
              <w:ind w:left="360"/>
              <w:rPr>
                <w:rFonts w:ascii="Verdana" w:hAnsi="Verdana" w:cs="Arial"/>
                <w:sz w:val="20"/>
                <w:szCs w:val="20"/>
              </w:rPr>
            </w:pPr>
            <w:r w:rsidRPr="007421E5">
              <w:rPr>
                <w:rFonts w:ascii="Verdana" w:hAnsi="Verdana" w:cs="Arial"/>
                <w:i/>
                <w:sz w:val="20"/>
                <w:szCs w:val="20"/>
              </w:rPr>
              <w:t xml:space="preserve">FY 2008-09 </w:t>
            </w:r>
            <w:r w:rsidR="00345CF3" w:rsidRPr="007421E5">
              <w:rPr>
                <w:rFonts w:ascii="Verdana" w:hAnsi="Verdana" w:cs="Arial"/>
                <w:i/>
                <w:sz w:val="20"/>
                <w:szCs w:val="20"/>
              </w:rPr>
              <w:t>Performance measure</w:t>
            </w:r>
            <w:r w:rsidR="00345CF3">
              <w:rPr>
                <w:rFonts w:ascii="Verdana" w:hAnsi="Verdana" w:cs="Arial"/>
                <w:sz w:val="20"/>
                <w:szCs w:val="20"/>
              </w:rPr>
              <w:t>: 740 technical assistance initiatives undertaken.</w:t>
            </w:r>
          </w:p>
        </w:tc>
      </w:tr>
      <w:tr w:rsidR="004B13C5" w:rsidRPr="009A10F2" w:rsidTr="00595DD9">
        <w:trPr>
          <w:cantSplit/>
          <w:trHeight w:val="193"/>
        </w:trPr>
        <w:tc>
          <w:tcPr>
            <w:tcW w:w="314" w:type="pct"/>
            <w:shd w:val="clear" w:color="auto" w:fill="auto"/>
          </w:tcPr>
          <w:p w:rsidR="004B13C5" w:rsidRPr="009A10F2" w:rsidRDefault="004B13C5" w:rsidP="0049276F">
            <w:pPr>
              <w:spacing w:beforeLines="60" w:afterLines="60"/>
              <w:rPr>
                <w:rFonts w:ascii="Verdana" w:hAnsi="Verdana" w:cs="Arial"/>
                <w:i/>
                <w:sz w:val="16"/>
                <w:szCs w:val="16"/>
              </w:rPr>
            </w:pPr>
          </w:p>
        </w:tc>
        <w:tc>
          <w:tcPr>
            <w:tcW w:w="380" w:type="pct"/>
            <w:shd w:val="clear" w:color="auto" w:fill="auto"/>
          </w:tcPr>
          <w:p w:rsidR="004B13C5" w:rsidRPr="009A10F2" w:rsidRDefault="004B13C5" w:rsidP="0049276F">
            <w:pPr>
              <w:spacing w:beforeLines="60" w:afterLines="60"/>
              <w:rPr>
                <w:rFonts w:ascii="Verdana" w:hAnsi="Verdana" w:cs="Arial"/>
                <w:i/>
                <w:sz w:val="16"/>
                <w:szCs w:val="16"/>
              </w:rPr>
            </w:pPr>
            <w:r>
              <w:rPr>
                <w:rFonts w:ascii="Verdana" w:hAnsi="Verdana" w:cs="Arial"/>
                <w:i/>
                <w:sz w:val="16"/>
                <w:szCs w:val="16"/>
              </w:rPr>
              <w:t>Modify</w:t>
            </w:r>
          </w:p>
        </w:tc>
        <w:tc>
          <w:tcPr>
            <w:tcW w:w="4306" w:type="pct"/>
            <w:vMerge/>
            <w:tcBorders>
              <w:top w:val="nil"/>
              <w:bottom w:val="nil"/>
            </w:tcBorders>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4B13C5" w:rsidRPr="009A10F2" w:rsidTr="00E9714D">
        <w:trPr>
          <w:cantSplit/>
          <w:trHeight w:val="193"/>
        </w:trPr>
        <w:tc>
          <w:tcPr>
            <w:tcW w:w="314" w:type="pct"/>
            <w:shd w:val="clear" w:color="auto" w:fill="auto"/>
          </w:tcPr>
          <w:p w:rsidR="004B13C5" w:rsidRPr="009A10F2" w:rsidRDefault="004B13C5" w:rsidP="0049276F">
            <w:pPr>
              <w:spacing w:beforeLines="60" w:afterLines="60"/>
              <w:rPr>
                <w:rFonts w:ascii="Verdana" w:hAnsi="Verdana" w:cs="Arial"/>
                <w:i/>
                <w:sz w:val="16"/>
                <w:szCs w:val="16"/>
              </w:rPr>
            </w:pPr>
          </w:p>
        </w:tc>
        <w:tc>
          <w:tcPr>
            <w:tcW w:w="380" w:type="pct"/>
            <w:shd w:val="clear" w:color="auto" w:fill="auto"/>
          </w:tcPr>
          <w:p w:rsidR="004B13C5" w:rsidRPr="009A10F2" w:rsidRDefault="004B13C5" w:rsidP="0049276F">
            <w:pPr>
              <w:spacing w:beforeLines="60" w:afterLines="60"/>
              <w:rPr>
                <w:rFonts w:ascii="Verdana" w:hAnsi="Verdana" w:cs="Arial"/>
                <w:i/>
                <w:sz w:val="16"/>
                <w:szCs w:val="16"/>
              </w:rPr>
            </w:pPr>
            <w:r>
              <w:rPr>
                <w:rFonts w:ascii="Verdana" w:hAnsi="Verdana" w:cs="Arial"/>
                <w:i/>
                <w:sz w:val="16"/>
                <w:szCs w:val="16"/>
              </w:rPr>
              <w:t>Abolish</w:t>
            </w:r>
          </w:p>
        </w:tc>
        <w:tc>
          <w:tcPr>
            <w:tcW w:w="4306" w:type="pct"/>
            <w:vMerge/>
            <w:tcBorders>
              <w:top w:val="nil"/>
              <w:bottom w:val="single" w:sz="4" w:space="0" w:color="auto"/>
            </w:tcBorders>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E26465" w:rsidRPr="009A10F2" w:rsidTr="0024589C">
        <w:trPr>
          <w:cantSplit/>
          <w:trHeight w:val="539"/>
        </w:trPr>
        <w:tc>
          <w:tcPr>
            <w:tcW w:w="314" w:type="pct"/>
            <w:shd w:val="clear" w:color="auto" w:fill="auto"/>
          </w:tcPr>
          <w:p w:rsidR="00E26465" w:rsidRPr="009A10F2" w:rsidRDefault="00E26465" w:rsidP="0049276F">
            <w:pPr>
              <w:spacing w:beforeLines="60" w:afterLines="60"/>
              <w:jc w:val="center"/>
              <w:rPr>
                <w:rFonts w:ascii="Verdana" w:hAnsi="Verdana" w:cs="Arial"/>
                <w:sz w:val="16"/>
                <w:szCs w:val="16"/>
              </w:rPr>
            </w:pPr>
          </w:p>
        </w:tc>
        <w:tc>
          <w:tcPr>
            <w:tcW w:w="380" w:type="pct"/>
            <w:shd w:val="clear" w:color="auto" w:fill="auto"/>
          </w:tcPr>
          <w:p w:rsidR="00E26465" w:rsidRPr="009A10F2" w:rsidRDefault="00E26465"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auto"/>
          </w:tcPr>
          <w:p w:rsidR="004C690E" w:rsidRDefault="00E26465" w:rsidP="0049276F">
            <w:pPr>
              <w:autoSpaceDE w:val="0"/>
              <w:autoSpaceDN w:val="0"/>
              <w:adjustRightInd w:val="0"/>
              <w:spacing w:beforeLines="60" w:afterLines="60"/>
              <w:ind w:left="360"/>
              <w:rPr>
                <w:rFonts w:ascii="Verdana" w:hAnsi="Verdana" w:cs="Arial"/>
                <w:b/>
                <w:sz w:val="20"/>
                <w:szCs w:val="20"/>
              </w:rPr>
            </w:pPr>
            <w:r w:rsidRPr="003E603F">
              <w:rPr>
                <w:rFonts w:ascii="Verdana" w:hAnsi="Verdana" w:cs="Arial"/>
                <w:b/>
                <w:sz w:val="20"/>
                <w:szCs w:val="20"/>
              </w:rPr>
              <w:t xml:space="preserve">Homeowners Association Covenant Revitalization </w:t>
            </w:r>
          </w:p>
          <w:p w:rsidR="00E26465" w:rsidRDefault="004C690E"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This program requires the department to r</w:t>
            </w:r>
            <w:r w:rsidR="00E26465" w:rsidRPr="009A10F2">
              <w:rPr>
                <w:rFonts w:ascii="Verdana" w:hAnsi="Verdana" w:cs="Arial"/>
                <w:sz w:val="20"/>
                <w:szCs w:val="20"/>
              </w:rPr>
              <w:t>eview homeowners associations’ reinstated covenants that were extinguished by Florida’s marketable record Titles Act for compliance with statutory requirements.</w:t>
            </w:r>
            <w:r w:rsidR="00E006FD" w:rsidRPr="000701F0">
              <w:rPr>
                <w:rFonts w:ascii="Verdana" w:hAnsi="Verdana"/>
                <w:sz w:val="20"/>
                <w:szCs w:val="20"/>
              </w:rPr>
              <w:t xml:space="preserve"> </w:t>
            </w:r>
            <w:r w:rsidR="00E006FD">
              <w:rPr>
                <w:rFonts w:ascii="Verdana" w:hAnsi="Verdana"/>
                <w:sz w:val="20"/>
                <w:szCs w:val="20"/>
              </w:rPr>
              <w:t xml:space="preserve">  The </w:t>
            </w:r>
            <w:r w:rsidR="00E006FD" w:rsidRPr="000701F0">
              <w:rPr>
                <w:rFonts w:ascii="Verdana" w:hAnsi="Verdana"/>
                <w:sz w:val="20"/>
                <w:szCs w:val="20"/>
              </w:rPr>
              <w:t>revitalization process</w:t>
            </w:r>
            <w:r w:rsidR="00E006FD">
              <w:rPr>
                <w:rFonts w:ascii="Verdana" w:hAnsi="Verdana"/>
                <w:sz w:val="20"/>
                <w:szCs w:val="20"/>
              </w:rPr>
              <w:t xml:space="preserve"> was created</w:t>
            </w:r>
            <w:r w:rsidR="00E006FD" w:rsidRPr="000701F0">
              <w:rPr>
                <w:rFonts w:ascii="Verdana" w:hAnsi="Verdana"/>
                <w:sz w:val="20"/>
                <w:szCs w:val="20"/>
              </w:rPr>
              <w:t xml:space="preserve"> to assist communities that were experiencing difficulty collecting assessments and maintaining common property because their covenants had expired.</w:t>
            </w:r>
            <w:r w:rsidR="007421E5">
              <w:rPr>
                <w:rFonts w:ascii="Verdana" w:hAnsi="Verdana"/>
                <w:sz w:val="20"/>
                <w:szCs w:val="20"/>
              </w:rPr>
              <w:t xml:space="preserve">  </w:t>
            </w:r>
          </w:p>
          <w:p w:rsidR="00E26465" w:rsidRPr="009A10F2" w:rsidRDefault="00E26465" w:rsidP="0049276F">
            <w:pPr>
              <w:autoSpaceDE w:val="0"/>
              <w:autoSpaceDN w:val="0"/>
              <w:adjustRightInd w:val="0"/>
              <w:spacing w:beforeLines="60" w:afterLines="60"/>
              <w:ind w:left="360"/>
              <w:rPr>
                <w:rFonts w:ascii="Verdana" w:hAnsi="Verdana" w:cs="Arial"/>
                <w:sz w:val="20"/>
                <w:szCs w:val="20"/>
              </w:rPr>
            </w:pPr>
            <w:r w:rsidRPr="00E30E0E">
              <w:rPr>
                <w:rFonts w:ascii="Verdana" w:hAnsi="Verdana" w:cs="Arial"/>
                <w:sz w:val="20"/>
                <w:szCs w:val="20"/>
              </w:rPr>
              <w:t xml:space="preserve">*** </w:t>
            </w:r>
            <w:r w:rsidRPr="004C690E">
              <w:rPr>
                <w:rFonts w:ascii="Verdana" w:hAnsi="Verdana" w:cs="Arial"/>
                <w:sz w:val="20"/>
                <w:szCs w:val="20"/>
              </w:rPr>
              <w:t>DBPR</w:t>
            </w:r>
            <w:r w:rsidR="0024589C">
              <w:rPr>
                <w:rFonts w:ascii="Verdana" w:hAnsi="Verdana" w:cs="Arial"/>
                <w:sz w:val="20"/>
                <w:szCs w:val="20"/>
              </w:rPr>
              <w:t>’s</w:t>
            </w:r>
            <w:r w:rsidRPr="004C690E">
              <w:rPr>
                <w:rFonts w:ascii="Verdana" w:hAnsi="Verdana" w:cs="Arial"/>
                <w:sz w:val="20"/>
                <w:szCs w:val="20"/>
              </w:rPr>
              <w:t xml:space="preserve"> Division of Florida Condominiums, Timeshares, and Mobile Homes </w:t>
            </w:r>
            <w:r w:rsidR="00D910CD">
              <w:rPr>
                <w:rFonts w:ascii="Verdana" w:hAnsi="Verdana" w:cs="Arial"/>
                <w:sz w:val="20"/>
                <w:szCs w:val="20"/>
              </w:rPr>
              <w:t xml:space="preserve">administers </w:t>
            </w:r>
            <w:r w:rsidR="0024589C">
              <w:rPr>
                <w:rFonts w:ascii="Verdana" w:hAnsi="Verdana" w:cs="Arial"/>
                <w:sz w:val="20"/>
                <w:szCs w:val="20"/>
              </w:rPr>
              <w:t>a</w:t>
            </w:r>
            <w:r w:rsidRPr="004C690E">
              <w:rPr>
                <w:rFonts w:ascii="Verdana" w:hAnsi="Verdana" w:cs="Arial"/>
                <w:sz w:val="20"/>
                <w:szCs w:val="20"/>
              </w:rPr>
              <w:t xml:space="preserve"> private </w:t>
            </w:r>
            <w:r w:rsidR="004C690E">
              <w:rPr>
                <w:rFonts w:ascii="Verdana" w:hAnsi="Verdana" w:cs="Arial"/>
                <w:sz w:val="20"/>
                <w:szCs w:val="20"/>
              </w:rPr>
              <w:t>arbitration</w:t>
            </w:r>
            <w:r w:rsidRPr="004C690E">
              <w:rPr>
                <w:rFonts w:ascii="Verdana" w:hAnsi="Verdana" w:cs="Arial"/>
                <w:sz w:val="20"/>
                <w:szCs w:val="20"/>
              </w:rPr>
              <w:t xml:space="preserve"> program for recall and election disputes of homeowners associations.</w:t>
            </w:r>
            <w:r>
              <w:rPr>
                <w:rFonts w:ascii="Verdana" w:hAnsi="Verdana" w:cs="Arial"/>
                <w:sz w:val="20"/>
                <w:szCs w:val="20"/>
              </w:rPr>
              <w:t xml:space="preserve">  </w:t>
            </w:r>
            <w:r w:rsidR="0024589C">
              <w:rPr>
                <w:rFonts w:ascii="Verdana" w:hAnsi="Verdana" w:cs="Arial"/>
                <w:sz w:val="20"/>
                <w:szCs w:val="20"/>
              </w:rPr>
              <w:t xml:space="preserve">Within the division, the Bureau of Standards and Registration reviews and approves all public disclosure documentation prior to public issuance.  </w:t>
            </w:r>
          </w:p>
        </w:tc>
      </w:tr>
      <w:tr w:rsidR="00E26465" w:rsidRPr="009A10F2" w:rsidTr="0024589C">
        <w:trPr>
          <w:cantSplit/>
          <w:trHeight w:val="584"/>
        </w:trPr>
        <w:tc>
          <w:tcPr>
            <w:tcW w:w="314" w:type="pct"/>
            <w:shd w:val="clear" w:color="auto" w:fill="auto"/>
          </w:tcPr>
          <w:p w:rsidR="00E26465" w:rsidRPr="009A10F2" w:rsidRDefault="00E26465" w:rsidP="0049276F">
            <w:pPr>
              <w:spacing w:beforeLines="60" w:afterLines="60"/>
              <w:jc w:val="center"/>
              <w:rPr>
                <w:rFonts w:ascii="Verdana" w:hAnsi="Verdana" w:cs="Arial"/>
                <w:sz w:val="16"/>
                <w:szCs w:val="16"/>
              </w:rPr>
            </w:pPr>
          </w:p>
        </w:tc>
        <w:tc>
          <w:tcPr>
            <w:tcW w:w="380" w:type="pct"/>
            <w:shd w:val="clear" w:color="auto" w:fill="auto"/>
          </w:tcPr>
          <w:p w:rsidR="00E26465" w:rsidRPr="009A10F2" w:rsidRDefault="00E26465"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E26465" w:rsidRPr="009A10F2" w:rsidTr="00E26465">
        <w:trPr>
          <w:cantSplit/>
          <w:trHeight w:val="662"/>
        </w:trPr>
        <w:tc>
          <w:tcPr>
            <w:tcW w:w="314" w:type="pct"/>
            <w:tcBorders>
              <w:bottom w:val="single" w:sz="4" w:space="0" w:color="auto"/>
            </w:tcBorders>
            <w:shd w:val="clear" w:color="auto" w:fill="auto"/>
          </w:tcPr>
          <w:p w:rsidR="00E26465" w:rsidRPr="009A10F2" w:rsidRDefault="00E26465" w:rsidP="0049276F">
            <w:pPr>
              <w:spacing w:beforeLines="60" w:afterLines="60"/>
              <w:rPr>
                <w:rFonts w:ascii="Verdana" w:hAnsi="Verdana" w:cs="Arial"/>
                <w:i/>
                <w:sz w:val="16"/>
                <w:szCs w:val="16"/>
              </w:rPr>
            </w:pPr>
          </w:p>
        </w:tc>
        <w:tc>
          <w:tcPr>
            <w:tcW w:w="380" w:type="pct"/>
            <w:tcBorders>
              <w:bottom w:val="single" w:sz="4" w:space="0" w:color="auto"/>
            </w:tcBorders>
            <w:shd w:val="clear" w:color="auto" w:fill="auto"/>
          </w:tcPr>
          <w:p w:rsidR="00E26465" w:rsidRPr="009A10F2" w:rsidRDefault="00E26465"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E26465" w:rsidRPr="009A10F2" w:rsidTr="00E9714D">
        <w:trPr>
          <w:cantSplit/>
          <w:trHeight w:val="662"/>
        </w:trPr>
        <w:tc>
          <w:tcPr>
            <w:tcW w:w="314" w:type="pct"/>
            <w:tcBorders>
              <w:right w:val="nil"/>
            </w:tcBorders>
            <w:shd w:val="clear" w:color="auto" w:fill="auto"/>
          </w:tcPr>
          <w:p w:rsidR="00E26465" w:rsidRPr="009A10F2" w:rsidRDefault="00E26465" w:rsidP="0049276F">
            <w:pPr>
              <w:spacing w:beforeLines="60" w:afterLines="60"/>
              <w:rPr>
                <w:rFonts w:ascii="Verdana" w:hAnsi="Verdana" w:cs="Arial"/>
                <w:i/>
                <w:sz w:val="16"/>
                <w:szCs w:val="16"/>
              </w:rPr>
            </w:pPr>
          </w:p>
        </w:tc>
        <w:tc>
          <w:tcPr>
            <w:tcW w:w="380" w:type="pct"/>
            <w:tcBorders>
              <w:left w:val="nil"/>
            </w:tcBorders>
            <w:shd w:val="clear" w:color="auto" w:fill="auto"/>
          </w:tcPr>
          <w:p w:rsidR="00E26465" w:rsidRPr="009A10F2" w:rsidRDefault="00E26465" w:rsidP="0049276F">
            <w:pPr>
              <w:spacing w:beforeLines="60" w:afterLines="60"/>
              <w:rPr>
                <w:rFonts w:ascii="Verdana" w:hAnsi="Verdana" w:cs="Arial"/>
                <w:i/>
                <w:sz w:val="16"/>
                <w:szCs w:val="16"/>
              </w:rPr>
            </w:pPr>
          </w:p>
        </w:tc>
        <w:tc>
          <w:tcPr>
            <w:tcW w:w="4306" w:type="pct"/>
            <w:vMerge/>
            <w:tcBorders>
              <w:bottom w:val="single" w:sz="4" w:space="0" w:color="auto"/>
            </w:tcBorders>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bl>
    <w:p w:rsidR="0020293E" w:rsidRDefault="0020293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111"/>
        <w:gridCol w:w="12587"/>
      </w:tblGrid>
      <w:tr w:rsidR="003E4710" w:rsidRPr="009A10F2" w:rsidTr="00595DD9">
        <w:trPr>
          <w:cantSplit/>
        </w:trPr>
        <w:tc>
          <w:tcPr>
            <w:tcW w:w="5000" w:type="pct"/>
            <w:gridSpan w:val="3"/>
            <w:shd w:val="pct10" w:color="auto" w:fill="auto"/>
          </w:tcPr>
          <w:p w:rsidR="003E4710" w:rsidRPr="009A10F2" w:rsidRDefault="00E9714D" w:rsidP="0049276F">
            <w:pPr>
              <w:autoSpaceDE w:val="0"/>
              <w:autoSpaceDN w:val="0"/>
              <w:adjustRightInd w:val="0"/>
              <w:spacing w:beforeLines="60" w:afterLines="60"/>
              <w:ind w:left="360"/>
              <w:rPr>
                <w:rFonts w:ascii="Verdana" w:hAnsi="Verdana" w:cs="Arial"/>
                <w:b/>
                <w:sz w:val="20"/>
                <w:szCs w:val="20"/>
              </w:rPr>
            </w:pPr>
            <w:r>
              <w:lastRenderedPageBreak/>
              <w:br w:type="page"/>
            </w:r>
            <w:r w:rsidR="003E4710" w:rsidRPr="009A10F2">
              <w:rPr>
                <w:rFonts w:ascii="Verdana" w:hAnsi="Verdana" w:cs="Arial"/>
                <w:b/>
                <w:sz w:val="20"/>
                <w:szCs w:val="20"/>
              </w:rPr>
              <w:t xml:space="preserve">Housing and Community Development  </w:t>
            </w:r>
            <w:r w:rsidR="00F87A69">
              <w:rPr>
                <w:rFonts w:ascii="Verdana" w:hAnsi="Verdana" w:cs="Arial"/>
                <w:sz w:val="20"/>
                <w:szCs w:val="20"/>
              </w:rPr>
              <w:t>Appropriation:  $376</w:t>
            </w:r>
            <w:r w:rsidR="00FA7BE8" w:rsidRPr="009A10F2">
              <w:rPr>
                <w:rFonts w:ascii="Verdana" w:hAnsi="Verdana" w:cs="Arial"/>
                <w:sz w:val="20"/>
                <w:szCs w:val="20"/>
              </w:rPr>
              <w:t>.1</w:t>
            </w:r>
            <w:r w:rsidR="00F87A69">
              <w:rPr>
                <w:rFonts w:ascii="Verdana" w:hAnsi="Verdana" w:cs="Arial"/>
                <w:sz w:val="20"/>
                <w:szCs w:val="20"/>
              </w:rPr>
              <w:t xml:space="preserve"> million, 72</w:t>
            </w:r>
            <w:r w:rsidR="003E4710" w:rsidRPr="009A10F2">
              <w:rPr>
                <w:rFonts w:ascii="Verdana" w:hAnsi="Verdana" w:cs="Arial"/>
                <w:sz w:val="20"/>
                <w:szCs w:val="20"/>
              </w:rPr>
              <w:t xml:space="preserve"> FTE</w:t>
            </w:r>
          </w:p>
        </w:tc>
      </w:tr>
      <w:tr w:rsidR="00684463" w:rsidRPr="009A10F2" w:rsidTr="004C690E">
        <w:trPr>
          <w:cantSplit/>
          <w:trHeight w:val="557"/>
        </w:trPr>
        <w:tc>
          <w:tcPr>
            <w:tcW w:w="314" w:type="pct"/>
            <w:shd w:val="clear" w:color="auto" w:fill="auto"/>
          </w:tcPr>
          <w:p w:rsidR="00684463" w:rsidRPr="009A10F2" w:rsidRDefault="00684463" w:rsidP="0049276F">
            <w:pPr>
              <w:keepNext/>
              <w:keepLines/>
              <w:spacing w:beforeLines="60" w:afterLines="60"/>
              <w:jc w:val="center"/>
              <w:rPr>
                <w:rFonts w:ascii="Verdana" w:hAnsi="Verdana" w:cs="Arial"/>
                <w:sz w:val="16"/>
                <w:szCs w:val="16"/>
              </w:rPr>
            </w:pPr>
          </w:p>
        </w:tc>
        <w:tc>
          <w:tcPr>
            <w:tcW w:w="380" w:type="pct"/>
            <w:shd w:val="clear" w:color="auto" w:fill="auto"/>
          </w:tcPr>
          <w:p w:rsidR="00684463" w:rsidRPr="009A10F2" w:rsidRDefault="00684463" w:rsidP="0049276F">
            <w:pPr>
              <w:keepNext/>
              <w:keepLines/>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Borders>
              <w:bottom w:val="nil"/>
            </w:tcBorders>
            <w:shd w:val="clear" w:color="auto" w:fill="auto"/>
          </w:tcPr>
          <w:p w:rsidR="003E1EF8" w:rsidRDefault="00684463" w:rsidP="0049276F">
            <w:pPr>
              <w:autoSpaceDE w:val="0"/>
              <w:autoSpaceDN w:val="0"/>
              <w:adjustRightInd w:val="0"/>
              <w:spacing w:beforeLines="60" w:afterLines="60"/>
              <w:ind w:left="360"/>
              <w:rPr>
                <w:rFonts w:ascii="Verdana" w:hAnsi="Verdana" w:cs="Arial"/>
                <w:b/>
                <w:sz w:val="20"/>
                <w:szCs w:val="20"/>
              </w:rPr>
            </w:pPr>
            <w:r w:rsidRPr="009A10F2">
              <w:rPr>
                <w:rFonts w:ascii="Verdana" w:hAnsi="Verdana" w:cs="Arial"/>
                <w:b/>
                <w:sz w:val="20"/>
                <w:szCs w:val="20"/>
              </w:rPr>
              <w:t>Florida Communities Trust</w:t>
            </w:r>
          </w:p>
          <w:p w:rsidR="003E1EF8" w:rsidRDefault="00D910CD"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 xml:space="preserve">FCT </w:t>
            </w:r>
            <w:r w:rsidR="00E8655F">
              <w:rPr>
                <w:rFonts w:ascii="Verdana" w:hAnsi="Verdana" w:cs="Arial"/>
                <w:sz w:val="20"/>
                <w:szCs w:val="20"/>
              </w:rPr>
              <w:t>is a</w:t>
            </w:r>
            <w:r w:rsidR="00684463" w:rsidRPr="009A10F2">
              <w:rPr>
                <w:rFonts w:ascii="Verdana" w:hAnsi="Verdana" w:cs="Arial"/>
                <w:sz w:val="20"/>
                <w:szCs w:val="20"/>
              </w:rPr>
              <w:t xml:space="preserve"> competitive grant program annually providing Florida Forever bond funds to local governments and non-profits to help communities provide parks and recreation areas to reach their level of service identified in their comprehensive plans while protecting Florida’s natural resources and habitat. </w:t>
            </w:r>
          </w:p>
          <w:p w:rsidR="003E1EF8" w:rsidRPr="009A10F2" w:rsidRDefault="00345CF3"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FY 2008-09 Performance measures: 91 applications processed; 5,383 acres acquired.</w:t>
            </w:r>
          </w:p>
        </w:tc>
      </w:tr>
      <w:tr w:rsidR="00684463" w:rsidRPr="009A10F2" w:rsidTr="004C690E">
        <w:trPr>
          <w:cantSplit/>
          <w:trHeight w:val="602"/>
        </w:trPr>
        <w:tc>
          <w:tcPr>
            <w:tcW w:w="314" w:type="pct"/>
            <w:shd w:val="clear" w:color="auto" w:fill="auto"/>
          </w:tcPr>
          <w:p w:rsidR="00684463" w:rsidRPr="009A10F2" w:rsidRDefault="00684463" w:rsidP="0049276F">
            <w:pPr>
              <w:keepNext/>
              <w:keepLines/>
              <w:spacing w:beforeLines="60" w:afterLines="60"/>
              <w:jc w:val="center"/>
              <w:rPr>
                <w:rFonts w:ascii="Verdana" w:hAnsi="Verdana" w:cs="Arial"/>
                <w:sz w:val="16"/>
                <w:szCs w:val="16"/>
              </w:rPr>
            </w:pPr>
          </w:p>
        </w:tc>
        <w:tc>
          <w:tcPr>
            <w:tcW w:w="380" w:type="pct"/>
            <w:shd w:val="clear" w:color="auto" w:fill="auto"/>
          </w:tcPr>
          <w:p w:rsidR="00684463" w:rsidRPr="009A10F2" w:rsidRDefault="00684463" w:rsidP="0049276F">
            <w:pPr>
              <w:keepNext/>
              <w:keepLines/>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Borders>
              <w:top w:val="nil"/>
              <w:bottom w:val="nil"/>
            </w:tcBorders>
            <w:shd w:val="clear" w:color="auto" w:fill="auto"/>
          </w:tcPr>
          <w:p w:rsidR="008566FB" w:rsidRDefault="008566FB" w:rsidP="0049276F">
            <w:pPr>
              <w:keepNext/>
              <w:keepLines/>
              <w:spacing w:beforeLines="60" w:afterLines="60"/>
              <w:rPr>
                <w:rFonts w:ascii="Verdana" w:hAnsi="Verdana" w:cs="Arial"/>
                <w:sz w:val="20"/>
                <w:szCs w:val="20"/>
              </w:rPr>
            </w:pPr>
          </w:p>
        </w:tc>
      </w:tr>
      <w:tr w:rsidR="00684463" w:rsidRPr="009A10F2" w:rsidTr="004C690E">
        <w:trPr>
          <w:cantSplit/>
          <w:trHeight w:val="557"/>
        </w:trPr>
        <w:tc>
          <w:tcPr>
            <w:tcW w:w="314" w:type="pct"/>
            <w:tcBorders>
              <w:bottom w:val="single" w:sz="4" w:space="0" w:color="auto"/>
            </w:tcBorders>
            <w:shd w:val="clear" w:color="auto" w:fill="auto"/>
          </w:tcPr>
          <w:p w:rsidR="00684463" w:rsidRPr="009A10F2" w:rsidRDefault="00684463" w:rsidP="0049276F">
            <w:pPr>
              <w:keepNext/>
              <w:keepLines/>
              <w:spacing w:beforeLines="60" w:afterLines="60"/>
              <w:rPr>
                <w:rFonts w:ascii="Verdana" w:hAnsi="Verdana" w:cs="Arial"/>
                <w:sz w:val="16"/>
                <w:szCs w:val="16"/>
              </w:rPr>
            </w:pPr>
          </w:p>
        </w:tc>
        <w:tc>
          <w:tcPr>
            <w:tcW w:w="380" w:type="pct"/>
            <w:tcBorders>
              <w:bottom w:val="single" w:sz="4" w:space="0" w:color="auto"/>
            </w:tcBorders>
            <w:shd w:val="clear" w:color="auto" w:fill="auto"/>
          </w:tcPr>
          <w:p w:rsidR="00684463" w:rsidRPr="009A10F2" w:rsidRDefault="00684463" w:rsidP="0049276F">
            <w:pPr>
              <w:keepNext/>
              <w:keepLines/>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Borders>
              <w:top w:val="nil"/>
              <w:bottom w:val="nil"/>
            </w:tcBorders>
            <w:shd w:val="clear" w:color="auto" w:fill="auto"/>
          </w:tcPr>
          <w:p w:rsidR="008566FB" w:rsidRDefault="008566FB" w:rsidP="0049276F">
            <w:pPr>
              <w:keepNext/>
              <w:keepLines/>
              <w:spacing w:beforeLines="60" w:afterLines="60"/>
              <w:rPr>
                <w:rFonts w:ascii="Verdana" w:hAnsi="Verdana" w:cs="Arial"/>
                <w:sz w:val="20"/>
                <w:szCs w:val="20"/>
              </w:rPr>
            </w:pPr>
          </w:p>
        </w:tc>
      </w:tr>
      <w:tr w:rsidR="006C60E2" w:rsidRPr="009A10F2" w:rsidTr="00595DD9">
        <w:trPr>
          <w:cantSplit/>
          <w:trHeight w:val="420"/>
        </w:trPr>
        <w:tc>
          <w:tcPr>
            <w:tcW w:w="694" w:type="pct"/>
            <w:gridSpan w:val="2"/>
            <w:tcBorders>
              <w:bottom w:val="nil"/>
            </w:tcBorders>
            <w:shd w:val="clear" w:color="auto" w:fill="auto"/>
          </w:tcPr>
          <w:p w:rsidR="005B393C" w:rsidRDefault="005B393C" w:rsidP="0049276F">
            <w:pPr>
              <w:spacing w:beforeLines="60" w:afterLines="60"/>
              <w:jc w:val="right"/>
              <w:rPr>
                <w:rFonts w:ascii="Verdana" w:hAnsi="Verdana" w:cs="Arial"/>
                <w:sz w:val="16"/>
                <w:szCs w:val="16"/>
              </w:rPr>
            </w:pPr>
          </w:p>
          <w:p w:rsidR="006C60E2" w:rsidRPr="009A10F2" w:rsidRDefault="006C60E2" w:rsidP="0049276F">
            <w:pPr>
              <w:spacing w:beforeLines="60" w:afterLines="60"/>
              <w:jc w:val="center"/>
              <w:rPr>
                <w:rFonts w:ascii="Verdana" w:hAnsi="Verdana" w:cs="Arial"/>
                <w:sz w:val="16"/>
                <w:szCs w:val="16"/>
              </w:rPr>
            </w:pPr>
          </w:p>
        </w:tc>
        <w:tc>
          <w:tcPr>
            <w:tcW w:w="4306" w:type="pct"/>
            <w:tcBorders>
              <w:top w:val="nil"/>
              <w:bottom w:val="nil"/>
            </w:tcBorders>
            <w:shd w:val="clear" w:color="auto" w:fill="auto"/>
          </w:tcPr>
          <w:p w:rsidR="006C60E2" w:rsidRPr="009A10F2" w:rsidRDefault="003E603F" w:rsidP="0049276F">
            <w:pPr>
              <w:autoSpaceDE w:val="0"/>
              <w:autoSpaceDN w:val="0"/>
              <w:adjustRightInd w:val="0"/>
              <w:spacing w:beforeLines="60" w:afterLines="60"/>
              <w:ind w:left="360"/>
              <w:rPr>
                <w:rFonts w:ascii="Verdana" w:hAnsi="Verdana" w:cs="Arial"/>
                <w:sz w:val="20"/>
                <w:szCs w:val="20"/>
              </w:rPr>
            </w:pPr>
            <w:r w:rsidRPr="003E603F">
              <w:rPr>
                <w:rFonts w:ascii="Verdana" w:hAnsi="Verdana" w:cs="Arial"/>
                <w:b/>
                <w:i/>
                <w:sz w:val="20"/>
                <w:szCs w:val="20"/>
              </w:rPr>
              <w:t>Note:</w:t>
            </w:r>
            <w:r>
              <w:rPr>
                <w:rFonts w:ascii="Verdana" w:hAnsi="Verdana" w:cs="Arial"/>
                <w:sz w:val="20"/>
                <w:szCs w:val="20"/>
              </w:rPr>
              <w:t xml:space="preserve">  </w:t>
            </w:r>
            <w:r w:rsidR="00345CF3">
              <w:rPr>
                <w:rFonts w:ascii="Verdana" w:hAnsi="Verdana" w:cs="Arial"/>
                <w:sz w:val="20"/>
                <w:szCs w:val="20"/>
              </w:rPr>
              <w:t xml:space="preserve">DEP’s operates </w:t>
            </w:r>
            <w:r w:rsidR="006C60E2" w:rsidRPr="00345CF3">
              <w:rPr>
                <w:rFonts w:ascii="Verdana" w:hAnsi="Verdana" w:cs="Arial"/>
                <w:b/>
                <w:sz w:val="20"/>
                <w:szCs w:val="20"/>
              </w:rPr>
              <w:t>Florida Recreation Development Assistance Program</w:t>
            </w:r>
            <w:r w:rsidR="00A32913" w:rsidRPr="000A080F">
              <w:rPr>
                <w:rFonts w:ascii="Verdana" w:hAnsi="Verdana"/>
                <w:color w:val="000000"/>
                <w:sz w:val="20"/>
                <w:szCs w:val="20"/>
              </w:rPr>
              <w:t xml:space="preserve"> </w:t>
            </w:r>
            <w:r w:rsidR="00E30E0E">
              <w:rPr>
                <w:rFonts w:ascii="Verdana" w:hAnsi="Verdana"/>
                <w:color w:val="000000"/>
                <w:sz w:val="20"/>
                <w:szCs w:val="20"/>
              </w:rPr>
              <w:t xml:space="preserve">- </w:t>
            </w:r>
            <w:r w:rsidR="00A32913" w:rsidRPr="000A080F">
              <w:rPr>
                <w:rFonts w:ascii="Verdana" w:hAnsi="Verdana"/>
                <w:color w:val="000000"/>
                <w:sz w:val="20"/>
                <w:szCs w:val="20"/>
              </w:rPr>
              <w:t xml:space="preserve">FRDAP is a competitive program which provides grants </w:t>
            </w:r>
            <w:r w:rsidR="00A32913">
              <w:rPr>
                <w:rFonts w:ascii="Verdana" w:hAnsi="Verdana"/>
                <w:color w:val="000000"/>
                <w:sz w:val="20"/>
                <w:szCs w:val="20"/>
              </w:rPr>
              <w:t xml:space="preserve">primarily </w:t>
            </w:r>
            <w:r w:rsidR="00A32913" w:rsidRPr="000A080F">
              <w:rPr>
                <w:rFonts w:ascii="Verdana" w:hAnsi="Verdana"/>
                <w:color w:val="000000"/>
                <w:sz w:val="20"/>
                <w:szCs w:val="20"/>
              </w:rPr>
              <w:t xml:space="preserve">for </w:t>
            </w:r>
            <w:r w:rsidR="00A32913">
              <w:rPr>
                <w:rFonts w:ascii="Verdana" w:hAnsi="Verdana"/>
                <w:color w:val="000000"/>
                <w:sz w:val="20"/>
                <w:szCs w:val="20"/>
              </w:rPr>
              <w:t>the development (sometimes</w:t>
            </w:r>
            <w:r w:rsidR="00A32913" w:rsidRPr="000A080F">
              <w:rPr>
                <w:rFonts w:ascii="Verdana" w:hAnsi="Verdana"/>
                <w:color w:val="000000"/>
                <w:sz w:val="20"/>
                <w:szCs w:val="20"/>
              </w:rPr>
              <w:t xml:space="preserve"> acquisition</w:t>
            </w:r>
            <w:r w:rsidR="00A32913">
              <w:rPr>
                <w:rFonts w:ascii="Verdana" w:hAnsi="Verdana"/>
                <w:color w:val="000000"/>
                <w:sz w:val="20"/>
                <w:szCs w:val="20"/>
              </w:rPr>
              <w:t xml:space="preserve">) </w:t>
            </w:r>
            <w:r w:rsidR="00A32913" w:rsidRPr="000A080F">
              <w:rPr>
                <w:rFonts w:ascii="Verdana" w:hAnsi="Verdana"/>
                <w:color w:val="000000"/>
                <w:sz w:val="20"/>
                <w:szCs w:val="20"/>
              </w:rPr>
              <w:t>of land for public outdoor recreation use or to construct or renovate recreational trails</w:t>
            </w:r>
            <w:r w:rsidR="00A32913">
              <w:rPr>
                <w:rFonts w:ascii="Verdana" w:hAnsi="Verdana"/>
                <w:color w:val="000000"/>
                <w:sz w:val="20"/>
                <w:szCs w:val="20"/>
              </w:rPr>
              <w:t xml:space="preserve">.  </w:t>
            </w:r>
          </w:p>
        </w:tc>
      </w:tr>
      <w:tr w:rsidR="009C2095" w:rsidRPr="009A10F2" w:rsidTr="009C2095">
        <w:trPr>
          <w:cantSplit/>
          <w:trHeight w:val="420"/>
        </w:trPr>
        <w:tc>
          <w:tcPr>
            <w:tcW w:w="314" w:type="pct"/>
            <w:shd w:val="clear" w:color="auto" w:fill="auto"/>
          </w:tcPr>
          <w:p w:rsidR="009C2095" w:rsidRPr="009A10F2" w:rsidRDefault="009C2095" w:rsidP="0049276F">
            <w:pPr>
              <w:spacing w:beforeLines="60" w:afterLines="60"/>
              <w:jc w:val="center"/>
              <w:rPr>
                <w:rFonts w:ascii="Verdana" w:hAnsi="Verdana" w:cs="Arial"/>
                <w:sz w:val="16"/>
                <w:szCs w:val="16"/>
              </w:rPr>
            </w:pPr>
          </w:p>
        </w:tc>
        <w:tc>
          <w:tcPr>
            <w:tcW w:w="380" w:type="pct"/>
            <w:shd w:val="clear" w:color="auto" w:fill="auto"/>
          </w:tcPr>
          <w:p w:rsidR="009C2095" w:rsidRPr="009A10F2" w:rsidRDefault="009C2095"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shd w:val="clear" w:color="auto" w:fill="auto"/>
          </w:tcPr>
          <w:p w:rsidR="009C2095" w:rsidRPr="009C2095" w:rsidRDefault="00DE2471" w:rsidP="0049276F">
            <w:pPr>
              <w:autoSpaceDE w:val="0"/>
              <w:autoSpaceDN w:val="0"/>
              <w:adjustRightInd w:val="0"/>
              <w:spacing w:beforeLines="60" w:afterLines="60"/>
              <w:ind w:left="360"/>
              <w:rPr>
                <w:rFonts w:ascii="Verdana" w:hAnsi="Verdana" w:cs="Arial"/>
                <w:b/>
                <w:sz w:val="20"/>
                <w:szCs w:val="20"/>
              </w:rPr>
            </w:pPr>
            <w:r>
              <w:rPr>
                <w:rFonts w:ascii="Verdana" w:hAnsi="Verdana" w:cs="Arial"/>
                <w:b/>
                <w:sz w:val="20"/>
                <w:szCs w:val="20"/>
              </w:rPr>
              <w:t xml:space="preserve">Stan Mayfield </w:t>
            </w:r>
            <w:r w:rsidR="009C2095" w:rsidRPr="009C2095">
              <w:rPr>
                <w:rFonts w:ascii="Verdana" w:hAnsi="Verdana" w:cs="Arial"/>
                <w:b/>
                <w:sz w:val="20"/>
                <w:szCs w:val="20"/>
              </w:rPr>
              <w:t xml:space="preserve">Working Waterfronts Program </w:t>
            </w:r>
          </w:p>
          <w:p w:rsidR="009C2095" w:rsidRDefault="009C2095"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A part of F</w:t>
            </w:r>
            <w:r w:rsidR="00B32A3E">
              <w:rPr>
                <w:rFonts w:ascii="Verdana" w:hAnsi="Verdana" w:cs="Arial"/>
                <w:sz w:val="20"/>
                <w:szCs w:val="20"/>
              </w:rPr>
              <w:t>C</w:t>
            </w:r>
            <w:r>
              <w:rPr>
                <w:rFonts w:ascii="Verdana" w:hAnsi="Verdana" w:cs="Arial"/>
                <w:sz w:val="20"/>
                <w:szCs w:val="20"/>
              </w:rPr>
              <w:t>T that p</w:t>
            </w:r>
            <w:r w:rsidRPr="009A10F2">
              <w:rPr>
                <w:rFonts w:ascii="Verdana" w:hAnsi="Verdana" w:cs="Arial"/>
                <w:sz w:val="20"/>
                <w:szCs w:val="20"/>
              </w:rPr>
              <w:t>rovides grants to acquire land directly used for the purposes of the commercial harvest of marine organisms or saltwater products by state-licensed commercial fishermen, aquaculturists, or business entities, including piers, wharves, docks, or other facilities operated to provide waterfront access to licensed commercial fishermen, aquaculturists, or business entities.</w:t>
            </w:r>
            <w:r>
              <w:rPr>
                <w:rFonts w:ascii="Verdana" w:hAnsi="Verdana" w:cs="Arial"/>
                <w:sz w:val="20"/>
                <w:szCs w:val="20"/>
              </w:rPr>
              <w:t xml:space="preserve"> </w:t>
            </w:r>
          </w:p>
          <w:p w:rsidR="009C2095" w:rsidRPr="009A10F2" w:rsidRDefault="009C2095" w:rsidP="0049276F">
            <w:pPr>
              <w:autoSpaceDE w:val="0"/>
              <w:autoSpaceDN w:val="0"/>
              <w:adjustRightInd w:val="0"/>
              <w:spacing w:beforeLines="60" w:afterLines="60"/>
              <w:ind w:left="360"/>
              <w:rPr>
                <w:rFonts w:ascii="Verdana" w:hAnsi="Verdana" w:cs="Arial"/>
                <w:sz w:val="20"/>
                <w:szCs w:val="20"/>
              </w:rPr>
            </w:pPr>
            <w:r w:rsidRPr="00F151E2">
              <w:rPr>
                <w:rFonts w:ascii="Verdana" w:hAnsi="Verdana" w:cs="Arial"/>
                <w:i/>
                <w:sz w:val="20"/>
                <w:szCs w:val="20"/>
              </w:rPr>
              <w:t>Performance</w:t>
            </w:r>
            <w:r w:rsidR="00987615">
              <w:rPr>
                <w:rFonts w:ascii="Verdana" w:hAnsi="Verdana" w:cs="Arial"/>
                <w:i/>
                <w:sz w:val="20"/>
                <w:szCs w:val="20"/>
              </w:rPr>
              <w:t xml:space="preserve"> measur</w:t>
            </w:r>
            <w:r w:rsidR="003352D8">
              <w:rPr>
                <w:rFonts w:ascii="Verdana" w:hAnsi="Verdana" w:cs="Arial"/>
                <w:i/>
                <w:sz w:val="20"/>
                <w:szCs w:val="20"/>
              </w:rPr>
              <w:t>e</w:t>
            </w:r>
            <w:r w:rsidRPr="00F151E2">
              <w:rPr>
                <w:rFonts w:ascii="Verdana" w:hAnsi="Verdana" w:cs="Arial"/>
                <w:i/>
                <w:sz w:val="20"/>
                <w:szCs w:val="20"/>
              </w:rPr>
              <w:t>:</w:t>
            </w:r>
            <w:r>
              <w:rPr>
                <w:rFonts w:ascii="Verdana" w:hAnsi="Verdana" w:cs="Arial"/>
                <w:sz w:val="20"/>
                <w:szCs w:val="20"/>
              </w:rPr>
              <w:t xml:space="preserve"> </w:t>
            </w:r>
            <w:r w:rsidR="00DB12F5">
              <w:rPr>
                <w:rFonts w:ascii="Verdana" w:hAnsi="Verdana" w:cs="Arial"/>
                <w:sz w:val="20"/>
                <w:szCs w:val="20"/>
              </w:rPr>
              <w:t xml:space="preserve">Four grants have been funded. </w:t>
            </w:r>
          </w:p>
        </w:tc>
      </w:tr>
      <w:tr w:rsidR="009C2095" w:rsidRPr="009A10F2" w:rsidTr="009C2095">
        <w:trPr>
          <w:cantSplit/>
          <w:trHeight w:val="420"/>
        </w:trPr>
        <w:tc>
          <w:tcPr>
            <w:tcW w:w="314" w:type="pct"/>
            <w:shd w:val="clear" w:color="auto" w:fill="auto"/>
          </w:tcPr>
          <w:p w:rsidR="009C2095" w:rsidRPr="009A10F2" w:rsidRDefault="009C2095" w:rsidP="0049276F">
            <w:pPr>
              <w:spacing w:beforeLines="60" w:afterLines="60"/>
              <w:rPr>
                <w:rFonts w:ascii="Verdana" w:hAnsi="Verdana" w:cs="Arial"/>
                <w:sz w:val="16"/>
                <w:szCs w:val="16"/>
              </w:rPr>
            </w:pPr>
          </w:p>
        </w:tc>
        <w:tc>
          <w:tcPr>
            <w:tcW w:w="380" w:type="pct"/>
            <w:shd w:val="clear" w:color="auto" w:fill="auto"/>
          </w:tcPr>
          <w:p w:rsidR="009C2095" w:rsidRPr="009A10F2" w:rsidRDefault="009C2095"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9C2095" w:rsidRPr="009A10F2" w:rsidTr="009C2095">
        <w:trPr>
          <w:cantSplit/>
          <w:trHeight w:val="580"/>
        </w:trPr>
        <w:tc>
          <w:tcPr>
            <w:tcW w:w="314" w:type="pct"/>
            <w:tcBorders>
              <w:bottom w:val="single" w:sz="4" w:space="0" w:color="auto"/>
            </w:tcBorders>
            <w:shd w:val="clear" w:color="auto" w:fill="auto"/>
          </w:tcPr>
          <w:p w:rsidR="009C2095" w:rsidRPr="009A10F2" w:rsidRDefault="009C2095" w:rsidP="0049276F">
            <w:pPr>
              <w:spacing w:beforeLines="60" w:afterLines="60"/>
              <w:rPr>
                <w:rFonts w:ascii="Verdana" w:hAnsi="Verdana" w:cs="Arial"/>
                <w:i/>
                <w:sz w:val="16"/>
                <w:szCs w:val="16"/>
              </w:rPr>
            </w:pPr>
          </w:p>
        </w:tc>
        <w:tc>
          <w:tcPr>
            <w:tcW w:w="380" w:type="pct"/>
            <w:tcBorders>
              <w:bottom w:val="single" w:sz="4" w:space="0" w:color="auto"/>
            </w:tcBorders>
            <w:shd w:val="clear" w:color="auto" w:fill="auto"/>
          </w:tcPr>
          <w:p w:rsidR="009C2095" w:rsidRPr="009A10F2" w:rsidRDefault="009C2095"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9C2095" w:rsidRPr="009A10F2" w:rsidTr="003E7E60">
        <w:trPr>
          <w:cantSplit/>
          <w:trHeight w:val="579"/>
        </w:trPr>
        <w:tc>
          <w:tcPr>
            <w:tcW w:w="314" w:type="pct"/>
            <w:tcBorders>
              <w:bottom w:val="single" w:sz="4" w:space="0" w:color="auto"/>
              <w:right w:val="nil"/>
            </w:tcBorders>
            <w:shd w:val="clear" w:color="auto" w:fill="auto"/>
          </w:tcPr>
          <w:p w:rsidR="009C2095" w:rsidRPr="009A10F2" w:rsidRDefault="009C2095" w:rsidP="0049276F">
            <w:pPr>
              <w:spacing w:beforeLines="60" w:afterLines="60"/>
              <w:rPr>
                <w:rFonts w:ascii="Verdana" w:hAnsi="Verdana" w:cs="Arial"/>
                <w:i/>
                <w:sz w:val="16"/>
                <w:szCs w:val="16"/>
              </w:rPr>
            </w:pPr>
          </w:p>
        </w:tc>
        <w:tc>
          <w:tcPr>
            <w:tcW w:w="380" w:type="pct"/>
            <w:tcBorders>
              <w:left w:val="nil"/>
              <w:bottom w:val="single" w:sz="4" w:space="0" w:color="auto"/>
            </w:tcBorders>
            <w:shd w:val="clear" w:color="auto" w:fill="auto"/>
          </w:tcPr>
          <w:p w:rsidR="009C2095" w:rsidRPr="009A10F2" w:rsidRDefault="009C2095" w:rsidP="0049276F">
            <w:pPr>
              <w:spacing w:beforeLines="60" w:afterLines="60"/>
              <w:rPr>
                <w:rFonts w:ascii="Verdana" w:hAnsi="Verdana" w:cs="Arial"/>
                <w:i/>
                <w:sz w:val="16"/>
                <w:szCs w:val="16"/>
              </w:rPr>
            </w:pPr>
          </w:p>
        </w:tc>
        <w:tc>
          <w:tcPr>
            <w:tcW w:w="4306" w:type="pct"/>
            <w:vMerge/>
            <w:tcBorders>
              <w:bottom w:val="single" w:sz="4" w:space="0" w:color="auto"/>
            </w:tcBorders>
            <w:shd w:val="clear" w:color="auto" w:fill="auto"/>
          </w:tcPr>
          <w:p w:rsidR="008566FB" w:rsidRDefault="008566FB" w:rsidP="0049276F">
            <w:pPr>
              <w:autoSpaceDE w:val="0"/>
              <w:autoSpaceDN w:val="0"/>
              <w:adjustRightInd w:val="0"/>
              <w:spacing w:beforeLines="60" w:afterLines="60"/>
              <w:rPr>
                <w:rFonts w:ascii="Verdana" w:hAnsi="Verdana" w:cs="Arial"/>
                <w:sz w:val="20"/>
                <w:szCs w:val="20"/>
              </w:rPr>
            </w:pPr>
          </w:p>
        </w:tc>
      </w:tr>
      <w:tr w:rsidR="003E7E60" w:rsidRPr="009A10F2" w:rsidTr="003E7E60">
        <w:trPr>
          <w:cantSplit/>
          <w:trHeight w:val="340"/>
        </w:trPr>
        <w:tc>
          <w:tcPr>
            <w:tcW w:w="5000" w:type="pct"/>
            <w:gridSpan w:val="3"/>
            <w:shd w:val="pct10" w:color="auto" w:fill="auto"/>
          </w:tcPr>
          <w:p w:rsidR="003E7E60" w:rsidRPr="009A10F2" w:rsidRDefault="003E7E60" w:rsidP="0049276F">
            <w:pPr>
              <w:autoSpaceDE w:val="0"/>
              <w:autoSpaceDN w:val="0"/>
              <w:adjustRightInd w:val="0"/>
              <w:spacing w:beforeLines="60" w:afterLines="60"/>
              <w:ind w:left="2160"/>
              <w:rPr>
                <w:rFonts w:ascii="Verdana" w:hAnsi="Verdana" w:cs="Arial"/>
                <w:b/>
                <w:sz w:val="20"/>
                <w:szCs w:val="20"/>
              </w:rPr>
            </w:pPr>
            <w:r w:rsidRPr="009A10F2">
              <w:rPr>
                <w:rFonts w:ascii="Verdana" w:hAnsi="Verdana" w:cs="Arial"/>
                <w:b/>
                <w:sz w:val="20"/>
                <w:szCs w:val="20"/>
              </w:rPr>
              <w:t>Community Development Program</w:t>
            </w:r>
            <w:r>
              <w:rPr>
                <w:rFonts w:ascii="Verdana" w:hAnsi="Verdana" w:cs="Arial"/>
                <w:b/>
                <w:sz w:val="20"/>
                <w:szCs w:val="20"/>
              </w:rPr>
              <w:t>s</w:t>
            </w:r>
            <w:r w:rsidR="00F05486">
              <w:rPr>
                <w:rFonts w:ascii="Verdana" w:hAnsi="Verdana" w:cs="Arial"/>
                <w:b/>
                <w:sz w:val="20"/>
                <w:szCs w:val="20"/>
              </w:rPr>
              <w:t xml:space="preserve">  </w:t>
            </w:r>
            <w:r w:rsidR="00F05486" w:rsidRPr="00F05486">
              <w:rPr>
                <w:rFonts w:ascii="Verdana" w:hAnsi="Verdana" w:cs="Arial"/>
                <w:sz w:val="20"/>
                <w:szCs w:val="20"/>
              </w:rPr>
              <w:t>Federal Fund</w:t>
            </w:r>
            <w:r w:rsidR="00F05486">
              <w:rPr>
                <w:rFonts w:ascii="Verdana" w:hAnsi="Verdana" w:cs="Arial"/>
                <w:sz w:val="20"/>
                <w:szCs w:val="20"/>
              </w:rPr>
              <w:t>ing: $42.1 million</w:t>
            </w:r>
          </w:p>
        </w:tc>
      </w:tr>
      <w:tr w:rsidR="009837E2" w:rsidRPr="009A10F2" w:rsidTr="009837E2">
        <w:trPr>
          <w:cantSplit/>
          <w:trHeight w:val="340"/>
        </w:trPr>
        <w:tc>
          <w:tcPr>
            <w:tcW w:w="314" w:type="pct"/>
          </w:tcPr>
          <w:p w:rsidR="009837E2" w:rsidRPr="009A10F2" w:rsidRDefault="009837E2" w:rsidP="0049276F">
            <w:pPr>
              <w:spacing w:beforeLines="60" w:afterLines="60"/>
              <w:jc w:val="center"/>
              <w:rPr>
                <w:rFonts w:ascii="Verdana" w:hAnsi="Verdana" w:cs="Arial"/>
                <w:sz w:val="16"/>
                <w:szCs w:val="16"/>
              </w:rPr>
            </w:pPr>
          </w:p>
        </w:tc>
        <w:tc>
          <w:tcPr>
            <w:tcW w:w="380" w:type="pct"/>
          </w:tcPr>
          <w:p w:rsidR="009837E2" w:rsidRPr="009A10F2" w:rsidRDefault="009837E2"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06" w:type="pct"/>
            <w:vMerge w:val="restart"/>
          </w:tcPr>
          <w:p w:rsidR="009837E2" w:rsidRDefault="009837E2" w:rsidP="0049276F">
            <w:pPr>
              <w:autoSpaceDE w:val="0"/>
              <w:autoSpaceDN w:val="0"/>
              <w:adjustRightInd w:val="0"/>
              <w:spacing w:beforeLines="60" w:afterLines="60"/>
              <w:ind w:left="360"/>
              <w:rPr>
                <w:rFonts w:ascii="Verdana" w:hAnsi="Verdana" w:cs="Arial"/>
                <w:b/>
                <w:sz w:val="20"/>
                <w:szCs w:val="20"/>
              </w:rPr>
            </w:pPr>
            <w:r w:rsidRPr="009C2095">
              <w:rPr>
                <w:rFonts w:ascii="Verdana" w:hAnsi="Verdana" w:cs="Arial"/>
                <w:b/>
                <w:sz w:val="20"/>
                <w:szCs w:val="20"/>
              </w:rPr>
              <w:t>Small Cities Community Development (CDBG) Block Grant</w:t>
            </w:r>
            <w:r w:rsidR="00BA0104">
              <w:rPr>
                <w:rFonts w:ascii="Verdana" w:hAnsi="Verdana" w:cs="Arial"/>
                <w:b/>
                <w:sz w:val="20"/>
                <w:szCs w:val="20"/>
              </w:rPr>
              <w:t xml:space="preserve"> - received American Recovery and Reinvestment Act (ARRA) stimulus funding in FY 09-10</w:t>
            </w:r>
          </w:p>
          <w:p w:rsidR="007421E5" w:rsidRDefault="009837E2"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 xml:space="preserve">The federal </w:t>
            </w:r>
            <w:r w:rsidR="00BA0104">
              <w:rPr>
                <w:rFonts w:ascii="Verdana" w:hAnsi="Verdana" w:cs="Arial"/>
                <w:sz w:val="20"/>
                <w:szCs w:val="20"/>
              </w:rPr>
              <w:t xml:space="preserve">CDBG </w:t>
            </w:r>
            <w:r>
              <w:rPr>
                <w:rFonts w:ascii="Verdana" w:hAnsi="Verdana" w:cs="Arial"/>
                <w:sz w:val="20"/>
                <w:szCs w:val="20"/>
              </w:rPr>
              <w:t xml:space="preserve">program provides block grants to </w:t>
            </w:r>
            <w:r w:rsidRPr="00AC1E59">
              <w:rPr>
                <w:rFonts w:ascii="Verdana" w:hAnsi="Verdana" w:cs="Arial"/>
                <w:sz w:val="20"/>
                <w:szCs w:val="20"/>
              </w:rPr>
              <w:t>small and rural cities (less than 50,000 population) and county governments (less than 200,000).  The national objectives target</w:t>
            </w:r>
            <w:r>
              <w:rPr>
                <w:rFonts w:ascii="Verdana" w:hAnsi="Verdana" w:cs="Arial"/>
                <w:sz w:val="20"/>
                <w:szCs w:val="20"/>
              </w:rPr>
              <w:t>:</w:t>
            </w:r>
            <w:r w:rsidRPr="00AC1E59">
              <w:rPr>
                <w:rFonts w:ascii="Verdana" w:hAnsi="Verdana" w:cs="Arial"/>
                <w:sz w:val="20"/>
                <w:szCs w:val="20"/>
              </w:rPr>
              <w:t xml:space="preserve"> communities with individuals who have a low-moderate income, areas that are designated as Slum and Blight, and areas that have urgent need.  The program</w:t>
            </w:r>
            <w:r>
              <w:rPr>
                <w:rFonts w:ascii="Verdana" w:hAnsi="Verdana" w:cs="Arial"/>
                <w:sz w:val="20"/>
                <w:szCs w:val="20"/>
              </w:rPr>
              <w:t xml:space="preserve"> is a competitive grant that</w:t>
            </w:r>
            <w:r w:rsidRPr="00AC1E59">
              <w:rPr>
                <w:rFonts w:ascii="Verdana" w:hAnsi="Verdana" w:cs="Arial"/>
                <w:sz w:val="20"/>
                <w:szCs w:val="20"/>
              </w:rPr>
              <w:t xml:space="preserve"> has four category activities</w:t>
            </w:r>
            <w:r>
              <w:rPr>
                <w:rFonts w:ascii="Verdana" w:hAnsi="Verdana" w:cs="Arial"/>
                <w:sz w:val="20"/>
                <w:szCs w:val="20"/>
              </w:rPr>
              <w:t>;</w:t>
            </w:r>
            <w:r w:rsidRPr="00AC1E59">
              <w:rPr>
                <w:rFonts w:ascii="Verdana" w:hAnsi="Verdana" w:cs="Arial"/>
                <w:sz w:val="20"/>
                <w:szCs w:val="20"/>
              </w:rPr>
              <w:t xml:space="preserve"> </w:t>
            </w:r>
            <w:r>
              <w:rPr>
                <w:rFonts w:ascii="Verdana" w:hAnsi="Verdana" w:cs="Arial"/>
                <w:sz w:val="20"/>
                <w:szCs w:val="20"/>
              </w:rPr>
              <w:t>C</w:t>
            </w:r>
            <w:r w:rsidRPr="00AC1E59">
              <w:rPr>
                <w:rFonts w:ascii="Verdana" w:hAnsi="Verdana" w:cs="Arial"/>
                <w:sz w:val="20"/>
                <w:szCs w:val="20"/>
              </w:rPr>
              <w:t xml:space="preserve">ommercial </w:t>
            </w:r>
            <w:r>
              <w:rPr>
                <w:rFonts w:ascii="Verdana" w:hAnsi="Verdana" w:cs="Arial"/>
                <w:sz w:val="20"/>
                <w:szCs w:val="20"/>
              </w:rPr>
              <w:t>R</w:t>
            </w:r>
            <w:r w:rsidRPr="00AC1E59">
              <w:rPr>
                <w:rFonts w:ascii="Verdana" w:hAnsi="Verdana" w:cs="Arial"/>
                <w:sz w:val="20"/>
                <w:szCs w:val="20"/>
              </w:rPr>
              <w:t>evitalization (</w:t>
            </w:r>
            <w:r w:rsidR="00BA0104">
              <w:rPr>
                <w:rFonts w:ascii="Verdana" w:hAnsi="Verdana" w:cs="Arial"/>
                <w:sz w:val="20"/>
                <w:szCs w:val="20"/>
              </w:rPr>
              <w:t xml:space="preserve">10 </w:t>
            </w:r>
            <w:r w:rsidRPr="00AC1E59">
              <w:rPr>
                <w:rFonts w:ascii="Verdana" w:hAnsi="Verdana" w:cs="Arial"/>
                <w:sz w:val="20"/>
                <w:szCs w:val="20"/>
              </w:rPr>
              <w:t xml:space="preserve">%), </w:t>
            </w:r>
            <w:r>
              <w:rPr>
                <w:rFonts w:ascii="Verdana" w:hAnsi="Verdana" w:cs="Arial"/>
                <w:sz w:val="20"/>
                <w:szCs w:val="20"/>
              </w:rPr>
              <w:t>H</w:t>
            </w:r>
            <w:r w:rsidRPr="00AC1E59">
              <w:rPr>
                <w:rFonts w:ascii="Verdana" w:hAnsi="Verdana" w:cs="Arial"/>
                <w:sz w:val="20"/>
                <w:szCs w:val="20"/>
              </w:rPr>
              <w:t xml:space="preserve">ousing </w:t>
            </w:r>
            <w:r>
              <w:rPr>
                <w:rFonts w:ascii="Verdana" w:hAnsi="Verdana" w:cs="Arial"/>
                <w:sz w:val="20"/>
                <w:szCs w:val="20"/>
              </w:rPr>
              <w:t>R</w:t>
            </w:r>
            <w:r w:rsidRPr="00AC1E59">
              <w:rPr>
                <w:rFonts w:ascii="Verdana" w:hAnsi="Verdana" w:cs="Arial"/>
                <w:sz w:val="20"/>
                <w:szCs w:val="20"/>
              </w:rPr>
              <w:t xml:space="preserve">ehabilitation (20%), </w:t>
            </w:r>
            <w:r>
              <w:rPr>
                <w:rFonts w:ascii="Verdana" w:hAnsi="Verdana" w:cs="Arial"/>
                <w:sz w:val="20"/>
                <w:szCs w:val="20"/>
              </w:rPr>
              <w:t>E</w:t>
            </w:r>
            <w:r w:rsidRPr="00AC1E59">
              <w:rPr>
                <w:rFonts w:ascii="Verdana" w:hAnsi="Verdana" w:cs="Arial"/>
                <w:sz w:val="20"/>
                <w:szCs w:val="20"/>
              </w:rPr>
              <w:t xml:space="preserve">conomic </w:t>
            </w:r>
            <w:r>
              <w:rPr>
                <w:rFonts w:ascii="Verdana" w:hAnsi="Verdana" w:cs="Arial"/>
                <w:sz w:val="20"/>
                <w:szCs w:val="20"/>
              </w:rPr>
              <w:t>D</w:t>
            </w:r>
            <w:r w:rsidRPr="00AC1E59">
              <w:rPr>
                <w:rFonts w:ascii="Verdana" w:hAnsi="Verdana" w:cs="Arial"/>
                <w:sz w:val="20"/>
                <w:szCs w:val="20"/>
              </w:rPr>
              <w:t xml:space="preserve">evelopment (30%), and </w:t>
            </w:r>
            <w:r>
              <w:rPr>
                <w:rFonts w:ascii="Verdana" w:hAnsi="Verdana" w:cs="Arial"/>
                <w:sz w:val="20"/>
                <w:szCs w:val="20"/>
              </w:rPr>
              <w:t>N</w:t>
            </w:r>
            <w:r w:rsidRPr="00AC1E59">
              <w:rPr>
                <w:rFonts w:ascii="Verdana" w:hAnsi="Verdana" w:cs="Arial"/>
                <w:sz w:val="20"/>
                <w:szCs w:val="20"/>
              </w:rPr>
              <w:t xml:space="preserve">eighborhood </w:t>
            </w:r>
            <w:r>
              <w:rPr>
                <w:rFonts w:ascii="Verdana" w:hAnsi="Verdana" w:cs="Arial"/>
                <w:sz w:val="20"/>
                <w:szCs w:val="20"/>
              </w:rPr>
              <w:t>R</w:t>
            </w:r>
            <w:r w:rsidRPr="00AC1E59">
              <w:rPr>
                <w:rFonts w:ascii="Verdana" w:hAnsi="Verdana" w:cs="Arial"/>
                <w:sz w:val="20"/>
                <w:szCs w:val="20"/>
              </w:rPr>
              <w:t xml:space="preserve">evitalization (40%). </w:t>
            </w:r>
            <w:r w:rsidR="00BA0104">
              <w:rPr>
                <w:rFonts w:ascii="Verdana" w:hAnsi="Verdana" w:cs="Arial"/>
                <w:sz w:val="20"/>
                <w:szCs w:val="20"/>
              </w:rPr>
              <w:t xml:space="preserve"> CDBG received $7.5M in ARRA stimulu</w:t>
            </w:r>
            <w:r w:rsidR="003352D8">
              <w:rPr>
                <w:rFonts w:ascii="Verdana" w:hAnsi="Verdana" w:cs="Arial"/>
                <w:sz w:val="20"/>
                <w:szCs w:val="20"/>
              </w:rPr>
              <w:t>s funding that is available through</w:t>
            </w:r>
            <w:r w:rsidR="00BA0104">
              <w:rPr>
                <w:rFonts w:ascii="Verdana" w:hAnsi="Verdana" w:cs="Arial"/>
                <w:sz w:val="20"/>
                <w:szCs w:val="20"/>
              </w:rPr>
              <w:t xml:space="preserve"> 2012.</w:t>
            </w:r>
            <w:r w:rsidRPr="00AC1E59">
              <w:rPr>
                <w:rFonts w:ascii="Verdana" w:hAnsi="Verdana" w:cs="Arial"/>
                <w:sz w:val="20"/>
                <w:szCs w:val="20"/>
              </w:rPr>
              <w:t xml:space="preserve"> </w:t>
            </w:r>
          </w:p>
          <w:p w:rsidR="009837E2" w:rsidRPr="009A10F2" w:rsidRDefault="00925661" w:rsidP="0049276F">
            <w:pPr>
              <w:autoSpaceDE w:val="0"/>
              <w:autoSpaceDN w:val="0"/>
              <w:adjustRightInd w:val="0"/>
              <w:spacing w:beforeLines="60" w:afterLines="60"/>
              <w:ind w:left="360"/>
              <w:rPr>
                <w:rFonts w:ascii="Verdana" w:hAnsi="Verdana" w:cs="Arial"/>
                <w:sz w:val="20"/>
                <w:szCs w:val="20"/>
              </w:rPr>
            </w:pPr>
            <w:r w:rsidRPr="00F151E2">
              <w:rPr>
                <w:rFonts w:ascii="Verdana" w:hAnsi="Verdana" w:cs="Arial"/>
                <w:i/>
                <w:sz w:val="20"/>
                <w:szCs w:val="20"/>
              </w:rPr>
              <w:t>FY 2008-09 Performance measure</w:t>
            </w:r>
            <w:r w:rsidR="00BA0104">
              <w:rPr>
                <w:rFonts w:ascii="Verdana" w:hAnsi="Verdana" w:cs="Arial"/>
                <w:i/>
                <w:sz w:val="20"/>
                <w:szCs w:val="20"/>
              </w:rPr>
              <w:t>s</w:t>
            </w:r>
            <w:r w:rsidRPr="00F151E2">
              <w:rPr>
                <w:rFonts w:ascii="Verdana" w:hAnsi="Verdana" w:cs="Arial"/>
                <w:i/>
                <w:sz w:val="20"/>
                <w:szCs w:val="20"/>
              </w:rPr>
              <w:t>:</w:t>
            </w:r>
            <w:r>
              <w:rPr>
                <w:rFonts w:ascii="Verdana" w:hAnsi="Verdana" w:cs="Arial"/>
                <w:sz w:val="20"/>
                <w:szCs w:val="20"/>
              </w:rPr>
              <w:t xml:space="preserve">  258 housing units rehabilitated or replaced.</w:t>
            </w:r>
            <w:r w:rsidR="00BA0104">
              <w:rPr>
                <w:rFonts w:ascii="Verdana" w:hAnsi="Verdana" w:cs="Arial"/>
                <w:sz w:val="20"/>
                <w:szCs w:val="20"/>
              </w:rPr>
              <w:t xml:space="preserve">  378 jobs created/retained, 66 public facilities built/improved, 49 neighborhoods assisted, 78.9% Low to Moderate Income (LMI) ind</w:t>
            </w:r>
            <w:r w:rsidR="00246514">
              <w:rPr>
                <w:rFonts w:ascii="Verdana" w:hAnsi="Verdana" w:cs="Arial"/>
                <w:sz w:val="20"/>
                <w:szCs w:val="20"/>
              </w:rPr>
              <w:t>ividuals</w:t>
            </w:r>
            <w:r w:rsidR="00BA0104">
              <w:rPr>
                <w:rFonts w:ascii="Verdana" w:hAnsi="Verdana" w:cs="Arial"/>
                <w:sz w:val="20"/>
                <w:szCs w:val="20"/>
              </w:rPr>
              <w:t xml:space="preserve"> </w:t>
            </w:r>
            <w:r w:rsidR="00246514">
              <w:rPr>
                <w:rFonts w:ascii="Verdana" w:hAnsi="Verdana" w:cs="Arial"/>
                <w:sz w:val="20"/>
                <w:szCs w:val="20"/>
              </w:rPr>
              <w:t xml:space="preserve">as a percentage </w:t>
            </w:r>
            <w:r w:rsidR="00BA0104">
              <w:rPr>
                <w:rFonts w:ascii="Verdana" w:hAnsi="Verdana" w:cs="Arial"/>
                <w:sz w:val="20"/>
                <w:szCs w:val="20"/>
              </w:rPr>
              <w:t>of total served.</w:t>
            </w:r>
          </w:p>
        </w:tc>
      </w:tr>
      <w:tr w:rsidR="009837E2" w:rsidRPr="009A10F2" w:rsidTr="009837E2">
        <w:trPr>
          <w:cantSplit/>
          <w:trHeight w:val="340"/>
        </w:trPr>
        <w:tc>
          <w:tcPr>
            <w:tcW w:w="314" w:type="pct"/>
          </w:tcPr>
          <w:p w:rsidR="009837E2" w:rsidRPr="009A10F2" w:rsidRDefault="009837E2" w:rsidP="0049276F">
            <w:pPr>
              <w:spacing w:beforeLines="60" w:afterLines="60"/>
              <w:rPr>
                <w:rFonts w:ascii="Verdana" w:hAnsi="Verdana" w:cs="Arial"/>
                <w:sz w:val="16"/>
                <w:szCs w:val="16"/>
              </w:rPr>
            </w:pPr>
          </w:p>
        </w:tc>
        <w:tc>
          <w:tcPr>
            <w:tcW w:w="380" w:type="pct"/>
          </w:tcPr>
          <w:p w:rsidR="009837E2" w:rsidRPr="009A10F2" w:rsidRDefault="009837E2"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06" w:type="pct"/>
            <w:vMerge/>
          </w:tcPr>
          <w:p w:rsidR="008566FB" w:rsidRDefault="008566FB" w:rsidP="0049276F">
            <w:pPr>
              <w:autoSpaceDE w:val="0"/>
              <w:autoSpaceDN w:val="0"/>
              <w:adjustRightInd w:val="0"/>
              <w:spacing w:beforeLines="60" w:afterLines="60"/>
              <w:rPr>
                <w:rFonts w:ascii="Verdana" w:hAnsi="Verdana" w:cs="Arial"/>
                <w:sz w:val="20"/>
                <w:szCs w:val="20"/>
              </w:rPr>
            </w:pPr>
          </w:p>
        </w:tc>
      </w:tr>
      <w:tr w:rsidR="009837E2" w:rsidRPr="009A10F2" w:rsidTr="0020293E">
        <w:trPr>
          <w:cantSplit/>
          <w:trHeight w:val="620"/>
        </w:trPr>
        <w:tc>
          <w:tcPr>
            <w:tcW w:w="314" w:type="pct"/>
            <w:tcBorders>
              <w:bottom w:val="single" w:sz="4" w:space="0" w:color="auto"/>
            </w:tcBorders>
          </w:tcPr>
          <w:p w:rsidR="009837E2" w:rsidRPr="009A10F2" w:rsidRDefault="009837E2" w:rsidP="0049276F">
            <w:pPr>
              <w:spacing w:beforeLines="60" w:afterLines="60"/>
              <w:rPr>
                <w:rFonts w:ascii="Verdana" w:hAnsi="Verdana" w:cs="Arial"/>
                <w:i/>
                <w:sz w:val="16"/>
                <w:szCs w:val="16"/>
              </w:rPr>
            </w:pPr>
          </w:p>
        </w:tc>
        <w:tc>
          <w:tcPr>
            <w:tcW w:w="380" w:type="pct"/>
            <w:tcBorders>
              <w:bottom w:val="single" w:sz="4" w:space="0" w:color="auto"/>
            </w:tcBorders>
          </w:tcPr>
          <w:p w:rsidR="009837E2" w:rsidRPr="009A10F2" w:rsidRDefault="009837E2"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06" w:type="pct"/>
            <w:vMerge/>
          </w:tcPr>
          <w:p w:rsidR="008566FB" w:rsidRDefault="008566FB" w:rsidP="0049276F">
            <w:pPr>
              <w:autoSpaceDE w:val="0"/>
              <w:autoSpaceDN w:val="0"/>
              <w:adjustRightInd w:val="0"/>
              <w:spacing w:beforeLines="60" w:afterLines="60"/>
              <w:rPr>
                <w:rFonts w:ascii="Verdana" w:hAnsi="Verdana" w:cs="Arial"/>
                <w:sz w:val="20"/>
                <w:szCs w:val="20"/>
              </w:rPr>
            </w:pPr>
          </w:p>
        </w:tc>
      </w:tr>
      <w:tr w:rsidR="009837E2" w:rsidRPr="009A10F2" w:rsidTr="0020293E">
        <w:trPr>
          <w:cantSplit/>
          <w:trHeight w:val="474"/>
        </w:trPr>
        <w:tc>
          <w:tcPr>
            <w:tcW w:w="314" w:type="pct"/>
            <w:tcBorders>
              <w:bottom w:val="single" w:sz="4" w:space="0" w:color="auto"/>
              <w:right w:val="nil"/>
            </w:tcBorders>
          </w:tcPr>
          <w:p w:rsidR="009837E2" w:rsidRPr="009A10F2" w:rsidRDefault="009837E2" w:rsidP="0049276F">
            <w:pPr>
              <w:spacing w:beforeLines="60" w:afterLines="60"/>
              <w:rPr>
                <w:rFonts w:ascii="Verdana" w:hAnsi="Verdana" w:cs="Arial"/>
                <w:i/>
                <w:sz w:val="16"/>
                <w:szCs w:val="16"/>
              </w:rPr>
            </w:pPr>
          </w:p>
        </w:tc>
        <w:tc>
          <w:tcPr>
            <w:tcW w:w="380" w:type="pct"/>
            <w:tcBorders>
              <w:left w:val="nil"/>
              <w:bottom w:val="single" w:sz="4" w:space="0" w:color="auto"/>
            </w:tcBorders>
          </w:tcPr>
          <w:p w:rsidR="009837E2" w:rsidRPr="009A10F2" w:rsidRDefault="009837E2" w:rsidP="0049276F">
            <w:pPr>
              <w:spacing w:beforeLines="60" w:afterLines="60"/>
              <w:rPr>
                <w:rFonts w:ascii="Verdana" w:hAnsi="Verdana" w:cs="Arial"/>
                <w:i/>
                <w:sz w:val="16"/>
                <w:szCs w:val="16"/>
              </w:rPr>
            </w:pPr>
          </w:p>
        </w:tc>
        <w:tc>
          <w:tcPr>
            <w:tcW w:w="4306" w:type="pct"/>
            <w:vMerge/>
          </w:tcPr>
          <w:p w:rsidR="008566FB" w:rsidRDefault="008566FB" w:rsidP="0049276F">
            <w:pPr>
              <w:autoSpaceDE w:val="0"/>
              <w:autoSpaceDN w:val="0"/>
              <w:adjustRightInd w:val="0"/>
              <w:spacing w:beforeLines="60" w:afterLines="60"/>
              <w:rPr>
                <w:rFonts w:ascii="Verdana" w:hAnsi="Verdana" w:cs="Arial"/>
                <w:sz w:val="20"/>
                <w:szCs w:val="20"/>
              </w:rPr>
            </w:pPr>
          </w:p>
        </w:tc>
      </w:tr>
    </w:tbl>
    <w:p w:rsidR="0020293E" w:rsidRDefault="0020293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079"/>
        <w:gridCol w:w="12619"/>
      </w:tblGrid>
      <w:tr w:rsidR="003E7E60" w:rsidRPr="009A10F2" w:rsidTr="003E7E60">
        <w:trPr>
          <w:cantSplit/>
          <w:trHeight w:val="510"/>
        </w:trPr>
        <w:tc>
          <w:tcPr>
            <w:tcW w:w="314" w:type="pct"/>
          </w:tcPr>
          <w:p w:rsidR="003E7E60" w:rsidRPr="009A10F2" w:rsidRDefault="003E7E60" w:rsidP="0049276F">
            <w:pPr>
              <w:spacing w:beforeLines="60" w:afterLines="60"/>
              <w:rPr>
                <w:rFonts w:ascii="Verdana" w:hAnsi="Verdana" w:cs="Arial"/>
                <w:i/>
                <w:sz w:val="16"/>
                <w:szCs w:val="16"/>
              </w:rPr>
            </w:pPr>
          </w:p>
        </w:tc>
        <w:tc>
          <w:tcPr>
            <w:tcW w:w="369" w:type="pct"/>
          </w:tcPr>
          <w:p w:rsidR="003E7E60" w:rsidRPr="009A10F2" w:rsidRDefault="003E7E60" w:rsidP="0049276F">
            <w:pPr>
              <w:spacing w:beforeLines="60" w:afterLines="60"/>
              <w:rPr>
                <w:rFonts w:ascii="Verdana" w:hAnsi="Verdana" w:cs="Arial"/>
                <w:i/>
                <w:sz w:val="16"/>
                <w:szCs w:val="16"/>
              </w:rPr>
            </w:pPr>
            <w:r>
              <w:rPr>
                <w:rFonts w:ascii="Verdana" w:hAnsi="Verdana" w:cs="Arial"/>
                <w:i/>
                <w:sz w:val="16"/>
                <w:szCs w:val="16"/>
              </w:rPr>
              <w:t>Continue</w:t>
            </w:r>
          </w:p>
        </w:tc>
        <w:tc>
          <w:tcPr>
            <w:tcW w:w="4317" w:type="pct"/>
            <w:vMerge w:val="restart"/>
          </w:tcPr>
          <w:p w:rsidR="003E7E60" w:rsidRDefault="003E7E60" w:rsidP="0049276F">
            <w:pPr>
              <w:autoSpaceDE w:val="0"/>
              <w:autoSpaceDN w:val="0"/>
              <w:adjustRightInd w:val="0"/>
              <w:spacing w:beforeLines="60" w:afterLines="60"/>
              <w:ind w:left="360"/>
              <w:rPr>
                <w:rFonts w:ascii="Verdana" w:hAnsi="Verdana" w:cs="Arial"/>
                <w:sz w:val="20"/>
                <w:szCs w:val="20"/>
              </w:rPr>
            </w:pPr>
            <w:r w:rsidRPr="009C2095">
              <w:rPr>
                <w:rFonts w:ascii="Verdana" w:hAnsi="Verdana" w:cs="Arial"/>
                <w:b/>
                <w:sz w:val="20"/>
                <w:szCs w:val="20"/>
              </w:rPr>
              <w:t>CDBG Section 108 Loan Guarantee</w:t>
            </w:r>
            <w:r w:rsidRPr="009A10F2">
              <w:rPr>
                <w:rFonts w:ascii="Verdana" w:hAnsi="Verdana" w:cs="Arial"/>
                <w:sz w:val="20"/>
                <w:szCs w:val="20"/>
              </w:rPr>
              <w:t xml:space="preserve"> </w:t>
            </w:r>
          </w:p>
          <w:p w:rsidR="003E7E60" w:rsidRPr="009C2095" w:rsidRDefault="003E7E60"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O</w:t>
            </w:r>
            <w:r w:rsidRPr="009A10F2">
              <w:rPr>
                <w:rFonts w:ascii="Verdana" w:hAnsi="Verdana" w:cs="Arial"/>
                <w:sz w:val="20"/>
                <w:szCs w:val="20"/>
              </w:rPr>
              <w:t>ffers local governments a source of financing for economic development, large-scale public facility projects, and public infrastructure</w:t>
            </w:r>
            <w:r>
              <w:rPr>
                <w:rFonts w:ascii="Verdana" w:hAnsi="Verdana" w:cs="Arial"/>
                <w:sz w:val="20"/>
                <w:szCs w:val="20"/>
              </w:rPr>
              <w:t xml:space="preserve">.  The U.S. Dept. of Housing and Urban Development (HUD) sells bonds to finance economic development, large scale public facility projects, and public infrastructure (loans are secured by state CDBG funds).  </w:t>
            </w:r>
          </w:p>
          <w:p w:rsidR="003E7E60" w:rsidRPr="009A10F2" w:rsidRDefault="003E7E60" w:rsidP="0049276F">
            <w:pPr>
              <w:autoSpaceDE w:val="0"/>
              <w:autoSpaceDN w:val="0"/>
              <w:adjustRightInd w:val="0"/>
              <w:spacing w:beforeLines="60" w:afterLines="60"/>
              <w:ind w:left="360"/>
              <w:rPr>
                <w:rFonts w:ascii="Verdana" w:hAnsi="Verdana" w:cs="Arial"/>
                <w:sz w:val="20"/>
                <w:szCs w:val="20"/>
              </w:rPr>
            </w:pPr>
            <w:r w:rsidRPr="00925661">
              <w:rPr>
                <w:rFonts w:ascii="Verdana" w:hAnsi="Verdana" w:cs="Arial"/>
                <w:i/>
                <w:sz w:val="20"/>
                <w:szCs w:val="20"/>
              </w:rPr>
              <w:t>Performance</w:t>
            </w:r>
            <w:r>
              <w:rPr>
                <w:rFonts w:ascii="Verdana" w:hAnsi="Verdana" w:cs="Arial"/>
                <w:i/>
                <w:sz w:val="20"/>
                <w:szCs w:val="20"/>
              </w:rPr>
              <w:t xml:space="preserve"> measure</w:t>
            </w:r>
            <w:r w:rsidRPr="00925661">
              <w:rPr>
                <w:rFonts w:ascii="Verdana" w:hAnsi="Verdana" w:cs="Arial"/>
                <w:i/>
                <w:sz w:val="20"/>
                <w:szCs w:val="20"/>
              </w:rPr>
              <w:t>:</w:t>
            </w:r>
            <w:r>
              <w:rPr>
                <w:rFonts w:ascii="Verdana" w:hAnsi="Verdana" w:cs="Arial"/>
                <w:sz w:val="20"/>
                <w:szCs w:val="20"/>
              </w:rPr>
              <w:t xml:space="preserve">  There have been   three loans requested and </w:t>
            </w:r>
            <w:r w:rsidR="003D1752">
              <w:rPr>
                <w:rFonts w:ascii="Verdana" w:hAnsi="Verdana" w:cs="Arial"/>
                <w:sz w:val="20"/>
                <w:szCs w:val="20"/>
              </w:rPr>
              <w:t>approved under</w:t>
            </w:r>
            <w:r>
              <w:rPr>
                <w:rFonts w:ascii="Verdana" w:hAnsi="Verdana" w:cs="Arial"/>
                <w:sz w:val="20"/>
                <w:szCs w:val="20"/>
              </w:rPr>
              <w:t xml:space="preserve"> this program since 2000.</w:t>
            </w:r>
          </w:p>
        </w:tc>
      </w:tr>
      <w:tr w:rsidR="003E7E60" w:rsidRPr="009A10F2" w:rsidTr="003E7E60">
        <w:trPr>
          <w:cantSplit/>
          <w:trHeight w:val="510"/>
        </w:trPr>
        <w:tc>
          <w:tcPr>
            <w:tcW w:w="314" w:type="pct"/>
          </w:tcPr>
          <w:p w:rsidR="003E7E60" w:rsidRPr="009A10F2" w:rsidRDefault="003E7E60" w:rsidP="0049276F">
            <w:pPr>
              <w:spacing w:beforeLines="60" w:afterLines="60"/>
              <w:rPr>
                <w:rFonts w:ascii="Verdana" w:hAnsi="Verdana" w:cs="Arial"/>
                <w:i/>
                <w:sz w:val="16"/>
                <w:szCs w:val="16"/>
              </w:rPr>
            </w:pPr>
          </w:p>
        </w:tc>
        <w:tc>
          <w:tcPr>
            <w:tcW w:w="369" w:type="pct"/>
          </w:tcPr>
          <w:p w:rsidR="003E7E60" w:rsidRPr="009A10F2" w:rsidRDefault="003E7E60" w:rsidP="0049276F">
            <w:pPr>
              <w:spacing w:beforeLines="60" w:afterLines="60"/>
              <w:rPr>
                <w:rFonts w:ascii="Verdana" w:hAnsi="Verdana" w:cs="Arial"/>
                <w:i/>
                <w:sz w:val="16"/>
                <w:szCs w:val="16"/>
              </w:rPr>
            </w:pPr>
            <w:r>
              <w:rPr>
                <w:rFonts w:ascii="Verdana" w:hAnsi="Verdana" w:cs="Arial"/>
                <w:i/>
                <w:sz w:val="16"/>
                <w:szCs w:val="16"/>
              </w:rPr>
              <w:t>Modify</w:t>
            </w:r>
          </w:p>
        </w:tc>
        <w:tc>
          <w:tcPr>
            <w:tcW w:w="4317" w:type="pct"/>
            <w:vMerge/>
          </w:tcPr>
          <w:p w:rsidR="003E7E60" w:rsidRPr="009C2095" w:rsidRDefault="003E7E60" w:rsidP="0049276F">
            <w:pPr>
              <w:autoSpaceDE w:val="0"/>
              <w:autoSpaceDN w:val="0"/>
              <w:adjustRightInd w:val="0"/>
              <w:spacing w:beforeLines="60" w:afterLines="60"/>
              <w:ind w:left="360"/>
              <w:rPr>
                <w:rFonts w:ascii="Verdana" w:hAnsi="Verdana" w:cs="Arial"/>
                <w:b/>
                <w:sz w:val="20"/>
                <w:szCs w:val="20"/>
              </w:rPr>
            </w:pPr>
          </w:p>
        </w:tc>
      </w:tr>
      <w:tr w:rsidR="003E7E60" w:rsidRPr="009A10F2" w:rsidTr="003E7E60">
        <w:trPr>
          <w:cantSplit/>
          <w:trHeight w:val="510"/>
        </w:trPr>
        <w:tc>
          <w:tcPr>
            <w:tcW w:w="314" w:type="pct"/>
          </w:tcPr>
          <w:p w:rsidR="003E7E60" w:rsidRPr="009A10F2" w:rsidRDefault="003E7E60" w:rsidP="0049276F">
            <w:pPr>
              <w:spacing w:beforeLines="60" w:afterLines="60"/>
              <w:rPr>
                <w:rFonts w:ascii="Verdana" w:hAnsi="Verdana" w:cs="Arial"/>
                <w:i/>
                <w:sz w:val="16"/>
                <w:szCs w:val="16"/>
              </w:rPr>
            </w:pPr>
          </w:p>
        </w:tc>
        <w:tc>
          <w:tcPr>
            <w:tcW w:w="369" w:type="pct"/>
          </w:tcPr>
          <w:p w:rsidR="003E7E60" w:rsidRPr="009A10F2" w:rsidRDefault="003E7E60" w:rsidP="0049276F">
            <w:pPr>
              <w:spacing w:beforeLines="60" w:afterLines="60"/>
              <w:rPr>
                <w:rFonts w:ascii="Verdana" w:hAnsi="Verdana" w:cs="Arial"/>
                <w:i/>
                <w:sz w:val="16"/>
                <w:szCs w:val="16"/>
              </w:rPr>
            </w:pPr>
            <w:r>
              <w:rPr>
                <w:rFonts w:ascii="Verdana" w:hAnsi="Verdana" w:cs="Arial"/>
                <w:i/>
                <w:sz w:val="16"/>
                <w:szCs w:val="16"/>
              </w:rPr>
              <w:t>Abolish</w:t>
            </w:r>
          </w:p>
        </w:tc>
        <w:tc>
          <w:tcPr>
            <w:tcW w:w="4317" w:type="pct"/>
            <w:vMerge/>
          </w:tcPr>
          <w:p w:rsidR="003E7E60" w:rsidRPr="009C2095" w:rsidRDefault="003E7E60" w:rsidP="0049276F">
            <w:pPr>
              <w:autoSpaceDE w:val="0"/>
              <w:autoSpaceDN w:val="0"/>
              <w:adjustRightInd w:val="0"/>
              <w:spacing w:beforeLines="60" w:afterLines="60"/>
              <w:ind w:left="360"/>
              <w:rPr>
                <w:rFonts w:ascii="Verdana" w:hAnsi="Verdana" w:cs="Arial"/>
                <w:b/>
                <w:sz w:val="20"/>
                <w:szCs w:val="20"/>
              </w:rPr>
            </w:pPr>
          </w:p>
        </w:tc>
      </w:tr>
      <w:tr w:rsidR="003E7E60" w:rsidRPr="009A10F2" w:rsidTr="003E7E60">
        <w:trPr>
          <w:cantSplit/>
          <w:trHeight w:val="510"/>
        </w:trPr>
        <w:tc>
          <w:tcPr>
            <w:tcW w:w="683" w:type="pct"/>
            <w:gridSpan w:val="2"/>
          </w:tcPr>
          <w:p w:rsidR="003E7E60" w:rsidRPr="009A10F2" w:rsidRDefault="003E7E60" w:rsidP="0049276F">
            <w:pPr>
              <w:spacing w:beforeLines="60" w:afterLines="60"/>
              <w:rPr>
                <w:rFonts w:ascii="Verdana" w:hAnsi="Verdana" w:cs="Arial"/>
                <w:i/>
                <w:sz w:val="16"/>
                <w:szCs w:val="16"/>
              </w:rPr>
            </w:pPr>
          </w:p>
        </w:tc>
        <w:tc>
          <w:tcPr>
            <w:tcW w:w="4317" w:type="pct"/>
            <w:vMerge/>
            <w:tcBorders>
              <w:bottom w:val="single" w:sz="4" w:space="0" w:color="auto"/>
            </w:tcBorders>
          </w:tcPr>
          <w:p w:rsidR="003E7E60" w:rsidRPr="009C2095" w:rsidRDefault="003E7E60" w:rsidP="0049276F">
            <w:pPr>
              <w:autoSpaceDE w:val="0"/>
              <w:autoSpaceDN w:val="0"/>
              <w:adjustRightInd w:val="0"/>
              <w:spacing w:beforeLines="60" w:afterLines="60"/>
              <w:ind w:left="360"/>
              <w:rPr>
                <w:rFonts w:ascii="Verdana" w:hAnsi="Verdana" w:cs="Arial"/>
                <w:b/>
                <w:sz w:val="20"/>
                <w:szCs w:val="20"/>
              </w:rPr>
            </w:pPr>
          </w:p>
        </w:tc>
      </w:tr>
      <w:tr w:rsidR="00684463" w:rsidRPr="009A10F2" w:rsidTr="00925661">
        <w:trPr>
          <w:cantSplit/>
          <w:trHeight w:val="260"/>
        </w:trPr>
        <w:tc>
          <w:tcPr>
            <w:tcW w:w="314" w:type="pct"/>
          </w:tcPr>
          <w:p w:rsidR="00684463" w:rsidRPr="009A10F2" w:rsidRDefault="00925661" w:rsidP="0049276F">
            <w:pPr>
              <w:spacing w:beforeLines="60" w:afterLines="60"/>
              <w:jc w:val="center"/>
              <w:rPr>
                <w:rFonts w:ascii="Verdana" w:hAnsi="Verdana" w:cs="Arial"/>
                <w:sz w:val="16"/>
                <w:szCs w:val="16"/>
              </w:rPr>
            </w:pPr>
            <w:r>
              <w:br w:type="page"/>
            </w:r>
          </w:p>
        </w:tc>
        <w:tc>
          <w:tcPr>
            <w:tcW w:w="369" w:type="pct"/>
          </w:tcPr>
          <w:p w:rsidR="00684463" w:rsidRPr="009A10F2" w:rsidRDefault="00123BBC"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17" w:type="pct"/>
            <w:vMerge w:val="restart"/>
            <w:tcBorders>
              <w:top w:val="single" w:sz="4" w:space="0" w:color="auto"/>
              <w:bottom w:val="nil"/>
            </w:tcBorders>
          </w:tcPr>
          <w:p w:rsidR="00AB5E2A" w:rsidRDefault="00684463" w:rsidP="0049276F">
            <w:pPr>
              <w:autoSpaceDE w:val="0"/>
              <w:autoSpaceDN w:val="0"/>
              <w:adjustRightInd w:val="0"/>
              <w:spacing w:beforeLines="60" w:afterLines="60"/>
              <w:ind w:left="360"/>
              <w:rPr>
                <w:rFonts w:ascii="Verdana" w:hAnsi="Verdana" w:cs="Arial"/>
                <w:sz w:val="20"/>
                <w:szCs w:val="20"/>
              </w:rPr>
            </w:pPr>
            <w:r w:rsidRPr="009C2095">
              <w:rPr>
                <w:rFonts w:ascii="Verdana" w:hAnsi="Verdana" w:cs="Arial"/>
                <w:b/>
                <w:sz w:val="20"/>
                <w:szCs w:val="20"/>
              </w:rPr>
              <w:t>CDBG Disaster Recovery</w:t>
            </w:r>
            <w:r w:rsidRPr="009A10F2">
              <w:rPr>
                <w:rFonts w:ascii="Verdana" w:hAnsi="Verdana" w:cs="Arial"/>
                <w:sz w:val="20"/>
                <w:szCs w:val="20"/>
              </w:rPr>
              <w:t xml:space="preserve"> </w:t>
            </w:r>
          </w:p>
          <w:p w:rsidR="00684463" w:rsidRPr="009A10F2" w:rsidRDefault="00AB5E2A"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F</w:t>
            </w:r>
            <w:r w:rsidR="00861FDD">
              <w:rPr>
                <w:rFonts w:ascii="Verdana" w:hAnsi="Verdana" w:cs="Arial"/>
                <w:sz w:val="20"/>
                <w:szCs w:val="20"/>
              </w:rPr>
              <w:t xml:space="preserve">ederal </w:t>
            </w:r>
            <w:r w:rsidR="00684463" w:rsidRPr="009A10F2">
              <w:rPr>
                <w:rFonts w:ascii="Verdana" w:hAnsi="Verdana" w:cs="Arial"/>
                <w:sz w:val="20"/>
                <w:szCs w:val="20"/>
              </w:rPr>
              <w:t xml:space="preserve">special disaster recovery allocations </w:t>
            </w:r>
            <w:r>
              <w:rPr>
                <w:rFonts w:ascii="Verdana" w:hAnsi="Verdana" w:cs="Arial"/>
                <w:sz w:val="20"/>
                <w:szCs w:val="20"/>
              </w:rPr>
              <w:t xml:space="preserve">are </w:t>
            </w:r>
            <w:r w:rsidR="00684463" w:rsidRPr="009A10F2">
              <w:rPr>
                <w:rFonts w:ascii="Verdana" w:hAnsi="Verdana" w:cs="Arial"/>
                <w:sz w:val="20"/>
                <w:szCs w:val="20"/>
              </w:rPr>
              <w:t>awarded to state</w:t>
            </w:r>
            <w:r>
              <w:rPr>
                <w:rFonts w:ascii="Verdana" w:hAnsi="Verdana" w:cs="Arial"/>
                <w:sz w:val="20"/>
                <w:szCs w:val="20"/>
              </w:rPr>
              <w:t>s</w:t>
            </w:r>
            <w:r w:rsidR="00684463" w:rsidRPr="009A10F2">
              <w:rPr>
                <w:rFonts w:ascii="Verdana" w:hAnsi="Verdana" w:cs="Arial"/>
                <w:sz w:val="20"/>
                <w:szCs w:val="20"/>
              </w:rPr>
              <w:t xml:space="preserve"> following a specific disaster or weather event</w:t>
            </w:r>
            <w:r w:rsidR="00BA38D1">
              <w:rPr>
                <w:rFonts w:ascii="Verdana" w:hAnsi="Verdana" w:cs="Arial"/>
                <w:sz w:val="20"/>
                <w:szCs w:val="20"/>
              </w:rPr>
              <w:t>.</w:t>
            </w:r>
            <w:r w:rsidR="00080637">
              <w:rPr>
                <w:rFonts w:ascii="Verdana" w:hAnsi="Verdana" w:cs="Arial"/>
                <w:sz w:val="20"/>
                <w:szCs w:val="20"/>
              </w:rPr>
              <w:t xml:space="preserve">  </w:t>
            </w:r>
            <w:r w:rsidR="00552752">
              <w:rPr>
                <w:rFonts w:ascii="Verdana" w:hAnsi="Verdana" w:cs="Arial"/>
                <w:sz w:val="20"/>
                <w:szCs w:val="20"/>
              </w:rPr>
              <w:t>Eligible activities include restoration of disaster-impacted affordable housing, public infrastructure destroyed or damaged, and assistance for displaced or economically impacted businesses.</w:t>
            </w:r>
          </w:p>
        </w:tc>
      </w:tr>
      <w:tr w:rsidR="00684463" w:rsidRPr="009A10F2" w:rsidTr="00925661">
        <w:trPr>
          <w:cantSplit/>
          <w:trHeight w:val="260"/>
        </w:trPr>
        <w:tc>
          <w:tcPr>
            <w:tcW w:w="314" w:type="pct"/>
          </w:tcPr>
          <w:p w:rsidR="00684463" w:rsidRPr="009A10F2" w:rsidRDefault="00684463" w:rsidP="0049276F">
            <w:pPr>
              <w:spacing w:beforeLines="60" w:afterLines="60"/>
              <w:jc w:val="center"/>
              <w:rPr>
                <w:rFonts w:ascii="Verdana" w:hAnsi="Verdana" w:cs="Arial"/>
                <w:sz w:val="16"/>
                <w:szCs w:val="16"/>
              </w:rPr>
            </w:pPr>
          </w:p>
        </w:tc>
        <w:tc>
          <w:tcPr>
            <w:tcW w:w="369" w:type="pct"/>
          </w:tcPr>
          <w:p w:rsidR="00684463" w:rsidRPr="009A10F2" w:rsidRDefault="00123BBC"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17" w:type="pct"/>
            <w:vMerge/>
            <w:tcBorders>
              <w:top w:val="nil"/>
              <w:bottom w:val="nil"/>
            </w:tcBorders>
          </w:tcPr>
          <w:p w:rsidR="008566FB" w:rsidRDefault="008566FB" w:rsidP="0049276F">
            <w:pPr>
              <w:autoSpaceDE w:val="0"/>
              <w:autoSpaceDN w:val="0"/>
              <w:adjustRightInd w:val="0"/>
              <w:spacing w:beforeLines="60" w:afterLines="60"/>
              <w:rPr>
                <w:rFonts w:ascii="Verdana" w:hAnsi="Verdana" w:cs="Arial"/>
                <w:sz w:val="20"/>
                <w:szCs w:val="20"/>
              </w:rPr>
            </w:pPr>
          </w:p>
        </w:tc>
      </w:tr>
      <w:tr w:rsidR="00684463" w:rsidRPr="009A10F2" w:rsidTr="00925661">
        <w:trPr>
          <w:cantSplit/>
          <w:trHeight w:val="260"/>
        </w:trPr>
        <w:tc>
          <w:tcPr>
            <w:tcW w:w="314" w:type="pct"/>
          </w:tcPr>
          <w:p w:rsidR="00684463" w:rsidRPr="009A10F2" w:rsidRDefault="00684463" w:rsidP="0049276F">
            <w:pPr>
              <w:spacing w:beforeLines="60" w:afterLines="60"/>
              <w:rPr>
                <w:rFonts w:ascii="Verdana" w:hAnsi="Verdana" w:cs="Arial"/>
                <w:sz w:val="16"/>
                <w:szCs w:val="16"/>
              </w:rPr>
            </w:pPr>
          </w:p>
        </w:tc>
        <w:tc>
          <w:tcPr>
            <w:tcW w:w="369" w:type="pct"/>
          </w:tcPr>
          <w:p w:rsidR="00684463" w:rsidRPr="009A10F2" w:rsidRDefault="00123BBC"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17" w:type="pct"/>
            <w:vMerge/>
            <w:tcBorders>
              <w:top w:val="nil"/>
              <w:bottom w:val="nil"/>
            </w:tcBorders>
          </w:tcPr>
          <w:p w:rsidR="008566FB" w:rsidRDefault="008566FB" w:rsidP="0049276F">
            <w:pPr>
              <w:autoSpaceDE w:val="0"/>
              <w:autoSpaceDN w:val="0"/>
              <w:adjustRightInd w:val="0"/>
              <w:spacing w:beforeLines="60" w:afterLines="60"/>
              <w:rPr>
                <w:rFonts w:ascii="Verdana" w:hAnsi="Verdana" w:cs="Arial"/>
                <w:sz w:val="20"/>
                <w:szCs w:val="20"/>
              </w:rPr>
            </w:pPr>
          </w:p>
        </w:tc>
      </w:tr>
      <w:tr w:rsidR="00AB5E2A" w:rsidRPr="009A10F2" w:rsidTr="00925661">
        <w:trPr>
          <w:cantSplit/>
          <w:trHeight w:val="260"/>
        </w:trPr>
        <w:tc>
          <w:tcPr>
            <w:tcW w:w="314" w:type="pct"/>
          </w:tcPr>
          <w:p w:rsidR="00AB5E2A" w:rsidRPr="009A10F2" w:rsidRDefault="00AB5E2A" w:rsidP="0049276F">
            <w:pPr>
              <w:spacing w:beforeLines="60" w:afterLines="60"/>
              <w:jc w:val="center"/>
              <w:rPr>
                <w:rFonts w:ascii="Verdana" w:hAnsi="Verdana" w:cs="Arial"/>
                <w:sz w:val="16"/>
                <w:szCs w:val="16"/>
              </w:rPr>
            </w:pPr>
          </w:p>
        </w:tc>
        <w:tc>
          <w:tcPr>
            <w:tcW w:w="369" w:type="pct"/>
          </w:tcPr>
          <w:p w:rsidR="00AB5E2A" w:rsidRPr="009A10F2" w:rsidRDefault="00AB5E2A"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17" w:type="pct"/>
            <w:vMerge w:val="restart"/>
          </w:tcPr>
          <w:p w:rsidR="00AB5E2A" w:rsidRDefault="00AB5E2A" w:rsidP="0049276F">
            <w:pPr>
              <w:autoSpaceDE w:val="0"/>
              <w:autoSpaceDN w:val="0"/>
              <w:adjustRightInd w:val="0"/>
              <w:spacing w:beforeLines="60" w:afterLines="60"/>
              <w:ind w:left="360"/>
              <w:rPr>
                <w:rFonts w:ascii="Verdana" w:hAnsi="Verdana" w:cs="Arial"/>
                <w:sz w:val="20"/>
                <w:szCs w:val="20"/>
              </w:rPr>
            </w:pPr>
            <w:r w:rsidRPr="009C2095">
              <w:rPr>
                <w:rFonts w:ascii="Verdana" w:hAnsi="Verdana" w:cs="Arial"/>
                <w:b/>
                <w:sz w:val="20"/>
                <w:szCs w:val="20"/>
              </w:rPr>
              <w:t>Federal Neighborhood Stabilization Program</w:t>
            </w:r>
            <w:r w:rsidRPr="009A10F2">
              <w:rPr>
                <w:rFonts w:ascii="Verdana" w:hAnsi="Verdana" w:cs="Arial"/>
                <w:sz w:val="20"/>
                <w:szCs w:val="20"/>
              </w:rPr>
              <w:t xml:space="preserve"> (Title III Housing and Economic Recovery Act of 2008) </w:t>
            </w:r>
          </w:p>
          <w:p w:rsidR="00A2066D" w:rsidRDefault="00A2066D"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This program</w:t>
            </w:r>
            <w:r w:rsidR="00AB5E2A">
              <w:rPr>
                <w:rFonts w:ascii="Verdana" w:hAnsi="Verdana" w:cs="Arial"/>
                <w:sz w:val="20"/>
                <w:szCs w:val="20"/>
              </w:rPr>
              <w:t xml:space="preserve"> targets communities that are experiencing </w:t>
            </w:r>
            <w:r>
              <w:rPr>
                <w:rFonts w:ascii="Verdana" w:hAnsi="Verdana" w:cs="Arial"/>
                <w:sz w:val="20"/>
                <w:szCs w:val="20"/>
              </w:rPr>
              <w:t xml:space="preserve">a severe housing crisis due to </w:t>
            </w:r>
            <w:r w:rsidR="00AB5E2A">
              <w:rPr>
                <w:rFonts w:ascii="Verdana" w:hAnsi="Verdana" w:cs="Arial"/>
                <w:sz w:val="20"/>
                <w:szCs w:val="20"/>
              </w:rPr>
              <w:t xml:space="preserve">high foreclosures.  The department has awarded grants to </w:t>
            </w:r>
            <w:r w:rsidR="009E038C">
              <w:rPr>
                <w:rFonts w:ascii="Verdana" w:hAnsi="Verdana" w:cs="Arial"/>
                <w:sz w:val="20"/>
                <w:szCs w:val="20"/>
              </w:rPr>
              <w:t xml:space="preserve">24 </w:t>
            </w:r>
            <w:r w:rsidR="00AB5E2A">
              <w:rPr>
                <w:rFonts w:ascii="Verdana" w:hAnsi="Verdana" w:cs="Arial"/>
                <w:sz w:val="20"/>
                <w:szCs w:val="20"/>
              </w:rPr>
              <w:t xml:space="preserve">communities.  The funds will be used to address HUD eligible activities such as the purchase of foreclosed homes and land and/or property, demolition or rehabilitation of abandoned properties, and offer down payment and closing cost assistance to low and moderate income buyers. </w:t>
            </w:r>
          </w:p>
          <w:p w:rsidR="00AB5E2A" w:rsidRPr="009A10F2" w:rsidRDefault="00AB5E2A" w:rsidP="0049276F">
            <w:pPr>
              <w:autoSpaceDE w:val="0"/>
              <w:autoSpaceDN w:val="0"/>
              <w:adjustRightInd w:val="0"/>
              <w:spacing w:beforeLines="60" w:afterLines="60"/>
              <w:ind w:left="360"/>
              <w:rPr>
                <w:rFonts w:ascii="Verdana" w:hAnsi="Verdana" w:cs="Arial"/>
                <w:sz w:val="20"/>
                <w:szCs w:val="20"/>
              </w:rPr>
            </w:pPr>
            <w:r>
              <w:rPr>
                <w:rFonts w:ascii="Verdana" w:hAnsi="Verdana"/>
                <w:sz w:val="20"/>
                <w:szCs w:val="20"/>
              </w:rPr>
              <w:t>The department also provided a supplemental low-income a</w:t>
            </w:r>
            <w:r w:rsidRPr="00D029C8">
              <w:rPr>
                <w:rFonts w:ascii="Verdana" w:hAnsi="Verdana"/>
                <w:sz w:val="20"/>
                <w:szCs w:val="20"/>
              </w:rPr>
              <w:t xml:space="preserve">llocation </w:t>
            </w:r>
            <w:r>
              <w:rPr>
                <w:rFonts w:ascii="Verdana" w:hAnsi="Verdana"/>
                <w:sz w:val="20"/>
                <w:szCs w:val="20"/>
              </w:rPr>
              <w:t xml:space="preserve">to the same communities.  This allocation </w:t>
            </w:r>
            <w:r w:rsidRPr="00D029C8">
              <w:rPr>
                <w:rFonts w:ascii="Verdana" w:hAnsi="Verdana"/>
                <w:sz w:val="20"/>
                <w:szCs w:val="20"/>
              </w:rPr>
              <w:t>is dedicated to rental housing only</w:t>
            </w:r>
            <w:r>
              <w:rPr>
                <w:rFonts w:ascii="Verdana" w:hAnsi="Verdana"/>
                <w:sz w:val="20"/>
                <w:szCs w:val="20"/>
              </w:rPr>
              <w:t xml:space="preserve"> and is t</w:t>
            </w:r>
            <w:r w:rsidRPr="00D029C8">
              <w:rPr>
                <w:rFonts w:ascii="Verdana" w:hAnsi="Verdana"/>
                <w:sz w:val="20"/>
                <w:szCs w:val="20"/>
              </w:rPr>
              <w:t>argeted to persons with income at or below 50% of the area's median income</w:t>
            </w:r>
            <w:r>
              <w:rPr>
                <w:rFonts w:ascii="Verdana" w:hAnsi="Verdana"/>
                <w:sz w:val="20"/>
                <w:szCs w:val="20"/>
              </w:rPr>
              <w:t>.</w:t>
            </w:r>
            <w:r w:rsidRPr="00D029C8">
              <w:rPr>
                <w:rFonts w:ascii="Verdana" w:hAnsi="Verdana"/>
                <w:sz w:val="20"/>
                <w:szCs w:val="20"/>
              </w:rPr>
              <w:t xml:space="preserve"> </w:t>
            </w:r>
          </w:p>
        </w:tc>
      </w:tr>
      <w:tr w:rsidR="00AB5E2A" w:rsidRPr="009A10F2" w:rsidTr="00925661">
        <w:trPr>
          <w:cantSplit/>
          <w:trHeight w:val="260"/>
        </w:trPr>
        <w:tc>
          <w:tcPr>
            <w:tcW w:w="314" w:type="pct"/>
          </w:tcPr>
          <w:p w:rsidR="00AB5E2A" w:rsidRPr="009A10F2" w:rsidRDefault="00AB5E2A" w:rsidP="0049276F">
            <w:pPr>
              <w:spacing w:beforeLines="60" w:afterLines="60"/>
              <w:rPr>
                <w:rFonts w:ascii="Verdana" w:hAnsi="Verdana" w:cs="Arial"/>
                <w:sz w:val="16"/>
                <w:szCs w:val="16"/>
              </w:rPr>
            </w:pPr>
          </w:p>
        </w:tc>
        <w:tc>
          <w:tcPr>
            <w:tcW w:w="369" w:type="pct"/>
          </w:tcPr>
          <w:p w:rsidR="00AB5E2A" w:rsidRPr="009A10F2" w:rsidRDefault="00AB5E2A"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17" w:type="pct"/>
            <w:vMerge/>
          </w:tcPr>
          <w:p w:rsidR="008566FB" w:rsidRDefault="008566FB" w:rsidP="0049276F">
            <w:pPr>
              <w:autoSpaceDE w:val="0"/>
              <w:autoSpaceDN w:val="0"/>
              <w:adjustRightInd w:val="0"/>
              <w:spacing w:beforeLines="60" w:afterLines="60"/>
              <w:rPr>
                <w:rFonts w:ascii="Verdana" w:hAnsi="Verdana" w:cs="Arial"/>
                <w:sz w:val="20"/>
                <w:szCs w:val="20"/>
              </w:rPr>
            </w:pPr>
          </w:p>
        </w:tc>
      </w:tr>
      <w:tr w:rsidR="00AB5E2A" w:rsidRPr="009A10F2" w:rsidTr="003E7E60">
        <w:trPr>
          <w:cantSplit/>
          <w:trHeight w:val="575"/>
        </w:trPr>
        <w:tc>
          <w:tcPr>
            <w:tcW w:w="314" w:type="pct"/>
            <w:tcBorders>
              <w:bottom w:val="single" w:sz="4" w:space="0" w:color="auto"/>
            </w:tcBorders>
          </w:tcPr>
          <w:p w:rsidR="00AB5E2A" w:rsidRPr="009A10F2" w:rsidRDefault="00AB5E2A" w:rsidP="0049276F">
            <w:pPr>
              <w:spacing w:beforeLines="60" w:afterLines="60"/>
              <w:rPr>
                <w:rFonts w:ascii="Verdana" w:hAnsi="Verdana" w:cs="Arial"/>
                <w:i/>
                <w:sz w:val="16"/>
                <w:szCs w:val="16"/>
              </w:rPr>
            </w:pPr>
          </w:p>
        </w:tc>
        <w:tc>
          <w:tcPr>
            <w:tcW w:w="369" w:type="pct"/>
            <w:tcBorders>
              <w:bottom w:val="single" w:sz="4" w:space="0" w:color="auto"/>
            </w:tcBorders>
          </w:tcPr>
          <w:p w:rsidR="00AB5E2A" w:rsidRPr="009A10F2" w:rsidRDefault="00AB5E2A"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17" w:type="pct"/>
            <w:vMerge/>
          </w:tcPr>
          <w:p w:rsidR="008566FB" w:rsidRDefault="008566FB" w:rsidP="0049276F">
            <w:pPr>
              <w:autoSpaceDE w:val="0"/>
              <w:autoSpaceDN w:val="0"/>
              <w:adjustRightInd w:val="0"/>
              <w:spacing w:beforeLines="60" w:afterLines="60"/>
              <w:rPr>
                <w:rFonts w:ascii="Verdana" w:hAnsi="Verdana" w:cs="Arial"/>
                <w:sz w:val="20"/>
                <w:szCs w:val="20"/>
              </w:rPr>
            </w:pPr>
          </w:p>
        </w:tc>
      </w:tr>
      <w:tr w:rsidR="00AB5E2A" w:rsidRPr="009A10F2" w:rsidTr="003E7E60">
        <w:trPr>
          <w:cantSplit/>
          <w:trHeight w:val="687"/>
        </w:trPr>
        <w:tc>
          <w:tcPr>
            <w:tcW w:w="314" w:type="pct"/>
            <w:tcBorders>
              <w:bottom w:val="single" w:sz="4" w:space="0" w:color="auto"/>
              <w:right w:val="nil"/>
            </w:tcBorders>
          </w:tcPr>
          <w:p w:rsidR="00AB5E2A" w:rsidRPr="009A10F2" w:rsidRDefault="00AB5E2A" w:rsidP="0049276F">
            <w:pPr>
              <w:spacing w:beforeLines="60" w:afterLines="60"/>
              <w:rPr>
                <w:rFonts w:ascii="Verdana" w:hAnsi="Verdana" w:cs="Arial"/>
                <w:i/>
                <w:sz w:val="16"/>
                <w:szCs w:val="16"/>
              </w:rPr>
            </w:pPr>
          </w:p>
        </w:tc>
        <w:tc>
          <w:tcPr>
            <w:tcW w:w="369" w:type="pct"/>
            <w:tcBorders>
              <w:left w:val="nil"/>
              <w:bottom w:val="single" w:sz="4" w:space="0" w:color="auto"/>
            </w:tcBorders>
          </w:tcPr>
          <w:p w:rsidR="00AB5E2A" w:rsidRPr="009A10F2" w:rsidRDefault="00AB5E2A" w:rsidP="0049276F">
            <w:pPr>
              <w:spacing w:beforeLines="60" w:afterLines="60"/>
              <w:rPr>
                <w:rFonts w:ascii="Verdana" w:hAnsi="Verdana" w:cs="Arial"/>
                <w:i/>
                <w:sz w:val="16"/>
                <w:szCs w:val="16"/>
              </w:rPr>
            </w:pPr>
          </w:p>
        </w:tc>
        <w:tc>
          <w:tcPr>
            <w:tcW w:w="4317" w:type="pct"/>
            <w:vMerge/>
            <w:tcBorders>
              <w:bottom w:val="single" w:sz="4" w:space="0" w:color="auto"/>
            </w:tcBorders>
          </w:tcPr>
          <w:p w:rsidR="008566FB" w:rsidRDefault="008566FB" w:rsidP="0049276F">
            <w:pPr>
              <w:autoSpaceDE w:val="0"/>
              <w:autoSpaceDN w:val="0"/>
              <w:adjustRightInd w:val="0"/>
              <w:spacing w:beforeLines="60" w:afterLines="60"/>
              <w:rPr>
                <w:rFonts w:ascii="Verdana" w:hAnsi="Verdana" w:cs="Arial"/>
                <w:sz w:val="20"/>
                <w:szCs w:val="20"/>
              </w:rPr>
            </w:pPr>
          </w:p>
        </w:tc>
      </w:tr>
      <w:tr w:rsidR="003E7E60" w:rsidRPr="009A10F2" w:rsidTr="003E7E60">
        <w:trPr>
          <w:cantSplit/>
        </w:trPr>
        <w:tc>
          <w:tcPr>
            <w:tcW w:w="5000" w:type="pct"/>
            <w:gridSpan w:val="3"/>
            <w:shd w:val="pct10" w:color="auto" w:fill="auto"/>
          </w:tcPr>
          <w:p w:rsidR="003E7E60" w:rsidRPr="009A10F2" w:rsidRDefault="003E7E60" w:rsidP="0049276F">
            <w:pPr>
              <w:autoSpaceDE w:val="0"/>
              <w:autoSpaceDN w:val="0"/>
              <w:adjustRightInd w:val="0"/>
              <w:spacing w:beforeLines="60" w:afterLines="60"/>
              <w:ind w:left="2160"/>
              <w:rPr>
                <w:rFonts w:ascii="Verdana" w:hAnsi="Verdana" w:cs="Arial"/>
                <w:sz w:val="20"/>
                <w:szCs w:val="20"/>
              </w:rPr>
            </w:pPr>
            <w:r w:rsidRPr="00B00EEF">
              <w:rPr>
                <w:rFonts w:ascii="Verdana" w:hAnsi="Verdana" w:cs="Arial"/>
                <w:b/>
                <w:sz w:val="20"/>
                <w:szCs w:val="20"/>
              </w:rPr>
              <w:t>Community Assistance Program</w:t>
            </w:r>
            <w:r>
              <w:rPr>
                <w:rFonts w:ascii="Verdana" w:hAnsi="Verdana" w:cs="Arial"/>
                <w:b/>
                <w:sz w:val="20"/>
                <w:szCs w:val="20"/>
              </w:rPr>
              <w:t>s</w:t>
            </w:r>
            <w:r w:rsidR="00F05486">
              <w:rPr>
                <w:rFonts w:ascii="Verdana" w:hAnsi="Verdana" w:cs="Arial"/>
                <w:b/>
                <w:sz w:val="20"/>
                <w:szCs w:val="20"/>
              </w:rPr>
              <w:t xml:space="preserve">  </w:t>
            </w:r>
            <w:r w:rsidR="00F05486" w:rsidRPr="00F05486">
              <w:rPr>
                <w:rFonts w:ascii="Verdana" w:hAnsi="Verdana" w:cs="Arial"/>
                <w:sz w:val="20"/>
                <w:szCs w:val="20"/>
              </w:rPr>
              <w:t>Federal Funding:  $327.7 million</w:t>
            </w:r>
          </w:p>
        </w:tc>
      </w:tr>
      <w:tr w:rsidR="003E7E60" w:rsidRPr="009A10F2" w:rsidTr="0049276F">
        <w:trPr>
          <w:cantSplit/>
          <w:trHeight w:val="629"/>
        </w:trPr>
        <w:tc>
          <w:tcPr>
            <w:tcW w:w="314" w:type="pct"/>
          </w:tcPr>
          <w:p w:rsidR="003E7E60" w:rsidRPr="009A10F2" w:rsidRDefault="003E7E60" w:rsidP="0049276F">
            <w:pPr>
              <w:spacing w:beforeLines="60" w:afterLines="60"/>
              <w:jc w:val="center"/>
              <w:rPr>
                <w:rFonts w:ascii="Verdana" w:hAnsi="Verdana" w:cs="Arial"/>
                <w:sz w:val="16"/>
                <w:szCs w:val="16"/>
              </w:rPr>
            </w:pPr>
          </w:p>
        </w:tc>
        <w:tc>
          <w:tcPr>
            <w:tcW w:w="369" w:type="pct"/>
          </w:tcPr>
          <w:p w:rsidR="003E7E60" w:rsidRPr="009A10F2" w:rsidRDefault="003E7E60" w:rsidP="0049276F">
            <w:pPr>
              <w:spacing w:beforeLines="60" w:afterLines="60"/>
              <w:rPr>
                <w:rFonts w:ascii="Verdana" w:hAnsi="Verdana" w:cs="Arial"/>
                <w:i/>
                <w:sz w:val="16"/>
                <w:szCs w:val="16"/>
              </w:rPr>
            </w:pPr>
            <w:r w:rsidRPr="009A10F2">
              <w:rPr>
                <w:rFonts w:ascii="Verdana" w:hAnsi="Verdana" w:cs="Arial"/>
                <w:i/>
                <w:sz w:val="16"/>
                <w:szCs w:val="16"/>
              </w:rPr>
              <w:t>Continue</w:t>
            </w:r>
          </w:p>
        </w:tc>
        <w:tc>
          <w:tcPr>
            <w:tcW w:w="4317" w:type="pct"/>
            <w:vMerge w:val="restart"/>
          </w:tcPr>
          <w:p w:rsidR="003E7E60" w:rsidRPr="00AC3485" w:rsidRDefault="003E7E60" w:rsidP="0049276F">
            <w:pPr>
              <w:autoSpaceDE w:val="0"/>
              <w:autoSpaceDN w:val="0"/>
              <w:adjustRightInd w:val="0"/>
              <w:spacing w:beforeLines="60" w:afterLines="60"/>
              <w:ind w:left="360"/>
              <w:rPr>
                <w:rFonts w:ascii="Verdana" w:hAnsi="Verdana"/>
                <w:b/>
                <w:sz w:val="20"/>
                <w:szCs w:val="20"/>
              </w:rPr>
            </w:pPr>
            <w:r w:rsidRPr="00AC3485">
              <w:rPr>
                <w:rFonts w:ascii="Verdana" w:hAnsi="Verdana"/>
                <w:b/>
                <w:sz w:val="20"/>
                <w:szCs w:val="20"/>
              </w:rPr>
              <w:t>Community Services Block Grant (CSBG) – received ARRA stimulus funding in FY 09-10.</w:t>
            </w:r>
          </w:p>
          <w:p w:rsidR="003E7E60" w:rsidRPr="00B00EEF" w:rsidRDefault="003E7E60" w:rsidP="0049276F">
            <w:pPr>
              <w:autoSpaceDE w:val="0"/>
              <w:autoSpaceDN w:val="0"/>
              <w:adjustRightInd w:val="0"/>
              <w:spacing w:beforeLines="60" w:afterLines="60"/>
              <w:ind w:left="360"/>
              <w:rPr>
                <w:rFonts w:ascii="Verdana" w:hAnsi="Verdana"/>
                <w:sz w:val="20"/>
                <w:szCs w:val="20"/>
              </w:rPr>
            </w:pPr>
            <w:r w:rsidRPr="00B00EEF">
              <w:rPr>
                <w:rFonts w:ascii="Verdana" w:hAnsi="Verdana"/>
                <w:sz w:val="20"/>
                <w:szCs w:val="20"/>
              </w:rPr>
              <w:t xml:space="preserve">This </w:t>
            </w:r>
            <w:r>
              <w:rPr>
                <w:rFonts w:ascii="Verdana" w:hAnsi="Verdana"/>
                <w:sz w:val="20"/>
                <w:szCs w:val="20"/>
              </w:rPr>
              <w:t xml:space="preserve">Community Services Block Grant </w:t>
            </w:r>
            <w:r w:rsidRPr="00B00EEF">
              <w:rPr>
                <w:rFonts w:ascii="Verdana" w:hAnsi="Verdana"/>
                <w:sz w:val="20"/>
                <w:szCs w:val="20"/>
              </w:rPr>
              <w:t xml:space="preserve">program receives an annual award from the U.S. Department of Health and Human Services to serve low-income families in 67 counties.  The Community Services Block Grant program serves two purposes: to provide emergency financial assistance for nutrition, housing, and health care, and to provide longer term strategies for the state’s poorest citizens and low-income communities to achieve a higher level of self sufficiency through education, employment, and community support activities. </w:t>
            </w:r>
          </w:p>
          <w:p w:rsidR="003E7E60" w:rsidRPr="00B00EEF" w:rsidRDefault="003E7E60" w:rsidP="0049276F">
            <w:pPr>
              <w:autoSpaceDE w:val="0"/>
              <w:autoSpaceDN w:val="0"/>
              <w:adjustRightInd w:val="0"/>
              <w:spacing w:beforeLines="60" w:afterLines="60"/>
              <w:ind w:left="360"/>
              <w:rPr>
                <w:rFonts w:ascii="Verdana" w:hAnsi="Verdana"/>
                <w:sz w:val="20"/>
                <w:szCs w:val="20"/>
              </w:rPr>
            </w:pPr>
            <w:r w:rsidRPr="00B00EEF">
              <w:rPr>
                <w:rFonts w:ascii="Verdana" w:hAnsi="Verdana"/>
                <w:sz w:val="20"/>
                <w:szCs w:val="20"/>
              </w:rPr>
              <w:t>Community Services Block Grant program funds are allocated to a network of 34 local governments and community action agencies. This is a formula based grant and is not competitive.</w:t>
            </w:r>
            <w:r>
              <w:rPr>
                <w:rFonts w:ascii="Verdana" w:hAnsi="Verdana"/>
                <w:sz w:val="20"/>
                <w:szCs w:val="20"/>
              </w:rPr>
              <w:t xml:space="preserve">  The program received $29.1M in ARRA stimulus funding that is available through 2012.</w:t>
            </w:r>
          </w:p>
          <w:p w:rsidR="003E7E60" w:rsidRPr="009A10F2" w:rsidRDefault="003E7E60" w:rsidP="0049276F">
            <w:pPr>
              <w:autoSpaceDE w:val="0"/>
              <w:autoSpaceDN w:val="0"/>
              <w:adjustRightInd w:val="0"/>
              <w:spacing w:beforeLines="60" w:afterLines="60"/>
              <w:ind w:left="360"/>
              <w:rPr>
                <w:rFonts w:ascii="Verdana" w:hAnsi="Verdana" w:cs="Arial"/>
                <w:sz w:val="20"/>
                <w:szCs w:val="20"/>
              </w:rPr>
            </w:pPr>
            <w:r w:rsidRPr="00B00EEF">
              <w:rPr>
                <w:rFonts w:ascii="Verdana" w:hAnsi="Verdana" w:cs="Arial"/>
                <w:i/>
                <w:sz w:val="20"/>
                <w:szCs w:val="20"/>
              </w:rPr>
              <w:t>FY 2008-09 Performance measure:</w:t>
            </w:r>
            <w:r w:rsidRPr="00B00EEF">
              <w:rPr>
                <w:rFonts w:ascii="Verdana" w:hAnsi="Verdana" w:cs="Arial"/>
                <w:sz w:val="20"/>
                <w:szCs w:val="20"/>
              </w:rPr>
              <w:t xml:space="preserve">  </w:t>
            </w:r>
            <w:r>
              <w:rPr>
                <w:rFonts w:ascii="Verdana" w:hAnsi="Verdana" w:cs="Arial"/>
                <w:sz w:val="20"/>
                <w:szCs w:val="20"/>
              </w:rPr>
              <w:t xml:space="preserve">207,986 </w:t>
            </w:r>
            <w:r w:rsidRPr="00B00EEF">
              <w:rPr>
                <w:rFonts w:ascii="Verdana" w:hAnsi="Verdana" w:cs="Arial"/>
                <w:sz w:val="20"/>
                <w:szCs w:val="20"/>
              </w:rPr>
              <w:t xml:space="preserve">households </w:t>
            </w:r>
            <w:r>
              <w:rPr>
                <w:rFonts w:ascii="Verdana" w:hAnsi="Verdana" w:cs="Arial"/>
                <w:sz w:val="20"/>
                <w:szCs w:val="20"/>
              </w:rPr>
              <w:t xml:space="preserve">served </w:t>
            </w:r>
            <w:r w:rsidRPr="00B00EEF">
              <w:rPr>
                <w:rFonts w:ascii="Verdana" w:hAnsi="Verdana" w:cs="Arial"/>
                <w:sz w:val="20"/>
                <w:szCs w:val="20"/>
              </w:rPr>
              <w:t>from services provided by Community Services Block Grant Program</w:t>
            </w:r>
            <w:r w:rsidR="003D1752" w:rsidRPr="00B00EEF">
              <w:rPr>
                <w:rFonts w:ascii="Verdana" w:hAnsi="Verdana" w:cs="Arial"/>
                <w:sz w:val="20"/>
                <w:szCs w:val="20"/>
              </w:rPr>
              <w:t>.</w:t>
            </w:r>
          </w:p>
        </w:tc>
      </w:tr>
      <w:tr w:rsidR="003E7E60" w:rsidRPr="009A10F2" w:rsidTr="0049276F">
        <w:trPr>
          <w:cantSplit/>
          <w:trHeight w:val="539"/>
        </w:trPr>
        <w:tc>
          <w:tcPr>
            <w:tcW w:w="314" w:type="pct"/>
          </w:tcPr>
          <w:p w:rsidR="003E7E60" w:rsidRPr="009A10F2" w:rsidRDefault="003E7E60" w:rsidP="0049276F">
            <w:pPr>
              <w:spacing w:beforeLines="60" w:afterLines="60"/>
              <w:jc w:val="center"/>
              <w:rPr>
                <w:rFonts w:ascii="Verdana" w:hAnsi="Verdana" w:cs="Arial"/>
                <w:sz w:val="16"/>
                <w:szCs w:val="16"/>
              </w:rPr>
            </w:pPr>
          </w:p>
        </w:tc>
        <w:tc>
          <w:tcPr>
            <w:tcW w:w="369" w:type="pct"/>
          </w:tcPr>
          <w:p w:rsidR="003E7E60" w:rsidRPr="009A10F2" w:rsidRDefault="003E7E60" w:rsidP="0049276F">
            <w:pPr>
              <w:spacing w:beforeLines="60" w:afterLines="60"/>
              <w:rPr>
                <w:rFonts w:ascii="Verdana" w:hAnsi="Verdana" w:cs="Arial"/>
                <w:i/>
                <w:sz w:val="16"/>
                <w:szCs w:val="16"/>
              </w:rPr>
            </w:pPr>
            <w:r w:rsidRPr="009A10F2">
              <w:rPr>
                <w:rFonts w:ascii="Verdana" w:hAnsi="Verdana" w:cs="Arial"/>
                <w:i/>
                <w:sz w:val="16"/>
                <w:szCs w:val="16"/>
              </w:rPr>
              <w:t>Modify</w:t>
            </w:r>
          </w:p>
        </w:tc>
        <w:tc>
          <w:tcPr>
            <w:tcW w:w="4317" w:type="pct"/>
            <w:vMerge/>
          </w:tcPr>
          <w:p w:rsidR="003E7E60" w:rsidRDefault="003E7E60" w:rsidP="0049276F">
            <w:pPr>
              <w:numPr>
                <w:ilvl w:val="0"/>
                <w:numId w:val="29"/>
              </w:numPr>
              <w:autoSpaceDE w:val="0"/>
              <w:autoSpaceDN w:val="0"/>
              <w:adjustRightInd w:val="0"/>
              <w:spacing w:beforeLines="60" w:afterLines="60"/>
              <w:rPr>
                <w:rFonts w:ascii="Verdana" w:hAnsi="Verdana" w:cs="Arial"/>
                <w:sz w:val="20"/>
                <w:szCs w:val="20"/>
              </w:rPr>
            </w:pPr>
          </w:p>
        </w:tc>
      </w:tr>
      <w:tr w:rsidR="003E7E60" w:rsidRPr="009A10F2" w:rsidTr="003E7E60">
        <w:trPr>
          <w:cantSplit/>
          <w:trHeight w:val="552"/>
        </w:trPr>
        <w:tc>
          <w:tcPr>
            <w:tcW w:w="314" w:type="pct"/>
          </w:tcPr>
          <w:p w:rsidR="003E7E60" w:rsidRPr="009A10F2" w:rsidRDefault="003E7E60" w:rsidP="0049276F">
            <w:pPr>
              <w:spacing w:beforeLines="60" w:afterLines="60"/>
              <w:rPr>
                <w:rFonts w:ascii="Verdana" w:hAnsi="Verdana" w:cs="Arial"/>
                <w:i/>
                <w:sz w:val="16"/>
                <w:szCs w:val="16"/>
              </w:rPr>
            </w:pPr>
          </w:p>
        </w:tc>
        <w:tc>
          <w:tcPr>
            <w:tcW w:w="369" w:type="pct"/>
          </w:tcPr>
          <w:p w:rsidR="003E7E60" w:rsidRPr="009A10F2" w:rsidRDefault="003E7E60" w:rsidP="0049276F">
            <w:pPr>
              <w:spacing w:beforeLines="60" w:afterLines="60"/>
              <w:rPr>
                <w:rFonts w:ascii="Verdana" w:hAnsi="Verdana" w:cs="Arial"/>
                <w:i/>
                <w:sz w:val="16"/>
                <w:szCs w:val="16"/>
              </w:rPr>
            </w:pPr>
            <w:r w:rsidRPr="009A10F2">
              <w:rPr>
                <w:rFonts w:ascii="Verdana" w:hAnsi="Verdana" w:cs="Arial"/>
                <w:i/>
                <w:sz w:val="16"/>
                <w:szCs w:val="16"/>
              </w:rPr>
              <w:t>Abolish</w:t>
            </w:r>
          </w:p>
        </w:tc>
        <w:tc>
          <w:tcPr>
            <w:tcW w:w="4317" w:type="pct"/>
            <w:vMerge/>
          </w:tcPr>
          <w:p w:rsidR="003E7E60" w:rsidRDefault="003E7E60" w:rsidP="0049276F">
            <w:pPr>
              <w:numPr>
                <w:ilvl w:val="0"/>
                <w:numId w:val="29"/>
              </w:numPr>
              <w:autoSpaceDE w:val="0"/>
              <w:autoSpaceDN w:val="0"/>
              <w:adjustRightInd w:val="0"/>
              <w:spacing w:beforeLines="60" w:afterLines="60"/>
              <w:rPr>
                <w:rFonts w:ascii="Verdana" w:hAnsi="Verdana" w:cs="Arial"/>
                <w:sz w:val="20"/>
                <w:szCs w:val="20"/>
              </w:rPr>
            </w:pPr>
          </w:p>
        </w:tc>
      </w:tr>
      <w:tr w:rsidR="003E7E60" w:rsidRPr="009A10F2" w:rsidTr="003E7E60">
        <w:trPr>
          <w:cantSplit/>
          <w:trHeight w:val="1673"/>
        </w:trPr>
        <w:tc>
          <w:tcPr>
            <w:tcW w:w="683" w:type="pct"/>
            <w:gridSpan w:val="2"/>
          </w:tcPr>
          <w:p w:rsidR="003E7E60" w:rsidRPr="009A10F2" w:rsidRDefault="003E7E60" w:rsidP="0049276F">
            <w:pPr>
              <w:spacing w:beforeLines="60" w:afterLines="60"/>
              <w:rPr>
                <w:rFonts w:ascii="Verdana" w:hAnsi="Verdana" w:cs="Arial"/>
                <w:i/>
                <w:sz w:val="16"/>
                <w:szCs w:val="16"/>
              </w:rPr>
            </w:pPr>
          </w:p>
        </w:tc>
        <w:tc>
          <w:tcPr>
            <w:tcW w:w="4317" w:type="pct"/>
            <w:vMerge/>
          </w:tcPr>
          <w:p w:rsidR="003E7E60" w:rsidRDefault="003E7E60" w:rsidP="0049276F">
            <w:pPr>
              <w:numPr>
                <w:ilvl w:val="0"/>
                <w:numId w:val="29"/>
              </w:numPr>
              <w:autoSpaceDE w:val="0"/>
              <w:autoSpaceDN w:val="0"/>
              <w:adjustRightInd w:val="0"/>
              <w:spacing w:beforeLines="60" w:afterLines="60"/>
              <w:rPr>
                <w:rFonts w:ascii="Verdana" w:hAnsi="Verdana" w:cs="Arial"/>
                <w:sz w:val="20"/>
                <w:szCs w:val="20"/>
              </w:rPr>
            </w:pPr>
          </w:p>
        </w:tc>
      </w:tr>
    </w:tbl>
    <w:p w:rsidR="00695731" w:rsidRDefault="0069573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1079"/>
        <w:gridCol w:w="12619"/>
      </w:tblGrid>
      <w:tr w:rsidR="0020293E" w:rsidRPr="009A10F2" w:rsidTr="00695731">
        <w:trPr>
          <w:cantSplit/>
          <w:trHeight w:val="470"/>
        </w:trPr>
        <w:tc>
          <w:tcPr>
            <w:tcW w:w="314" w:type="pct"/>
            <w:shd w:val="clear" w:color="auto" w:fill="auto"/>
          </w:tcPr>
          <w:p w:rsidR="0020293E" w:rsidRPr="009A10F2" w:rsidRDefault="0020293E" w:rsidP="0049276F">
            <w:pPr>
              <w:autoSpaceDE w:val="0"/>
              <w:autoSpaceDN w:val="0"/>
              <w:adjustRightInd w:val="0"/>
              <w:spacing w:beforeLines="60" w:afterLines="60"/>
              <w:jc w:val="center"/>
              <w:rPr>
                <w:rFonts w:ascii="Verdana" w:hAnsi="Verdana" w:cs="Arial"/>
                <w:sz w:val="16"/>
                <w:szCs w:val="16"/>
              </w:rPr>
            </w:pPr>
          </w:p>
        </w:tc>
        <w:tc>
          <w:tcPr>
            <w:tcW w:w="369" w:type="pct"/>
            <w:shd w:val="clear" w:color="auto" w:fill="auto"/>
          </w:tcPr>
          <w:p w:rsidR="0020293E" w:rsidRPr="009A10F2" w:rsidRDefault="0020293E" w:rsidP="0049276F">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Continue</w:t>
            </w:r>
          </w:p>
        </w:tc>
        <w:tc>
          <w:tcPr>
            <w:tcW w:w="4317" w:type="pct"/>
            <w:vMerge w:val="restart"/>
            <w:tcBorders>
              <w:bottom w:val="nil"/>
            </w:tcBorders>
            <w:shd w:val="clear" w:color="auto" w:fill="auto"/>
          </w:tcPr>
          <w:p w:rsidR="0020293E" w:rsidRPr="00FC6066" w:rsidRDefault="0020293E" w:rsidP="0049276F">
            <w:pPr>
              <w:autoSpaceDE w:val="0"/>
              <w:autoSpaceDN w:val="0"/>
              <w:adjustRightInd w:val="0"/>
              <w:spacing w:beforeLines="60" w:afterLines="60"/>
              <w:ind w:left="360"/>
              <w:rPr>
                <w:rFonts w:ascii="Verdana" w:hAnsi="Verdana" w:cs="Arial"/>
                <w:sz w:val="20"/>
                <w:szCs w:val="20"/>
              </w:rPr>
            </w:pPr>
            <w:r w:rsidRPr="00FC6066">
              <w:rPr>
                <w:rFonts w:ascii="Verdana" w:hAnsi="Verdana" w:cs="Arial"/>
                <w:b/>
                <w:sz w:val="20"/>
                <w:szCs w:val="20"/>
              </w:rPr>
              <w:t xml:space="preserve">Low-Income Home Energy Assistance (LIHEAP) </w:t>
            </w:r>
          </w:p>
          <w:p w:rsidR="0020293E" w:rsidRDefault="0020293E"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P</w:t>
            </w:r>
            <w:r w:rsidRPr="009A10F2">
              <w:rPr>
                <w:rFonts w:ascii="Verdana" w:hAnsi="Verdana" w:cs="Arial"/>
                <w:sz w:val="20"/>
                <w:szCs w:val="20"/>
              </w:rPr>
              <w:t>rovides grants to local governments, non-profit organizations, and community action agencies to help low-income households with energy needs, primarily to assist in paying their utility bills</w:t>
            </w:r>
            <w:r>
              <w:rPr>
                <w:rFonts w:ascii="Verdana" w:hAnsi="Verdana" w:cs="Arial"/>
                <w:sz w:val="20"/>
                <w:szCs w:val="20"/>
              </w:rPr>
              <w:t xml:space="preserve">.  DCA also provides 6% </w:t>
            </w:r>
            <w:r w:rsidR="003D1752">
              <w:rPr>
                <w:rFonts w:ascii="Verdana" w:hAnsi="Verdana" w:cs="Arial"/>
                <w:sz w:val="20"/>
                <w:szCs w:val="20"/>
              </w:rPr>
              <w:t>of its</w:t>
            </w:r>
            <w:r>
              <w:rPr>
                <w:rFonts w:ascii="Verdana" w:hAnsi="Verdana" w:cs="Arial"/>
                <w:sz w:val="20"/>
                <w:szCs w:val="20"/>
              </w:rPr>
              <w:t xml:space="preserve"> allocation to the Department of Elder Affairs to serve the elderly.  This is a formula based grant and is not competitive.</w:t>
            </w:r>
          </w:p>
          <w:p w:rsidR="0020293E" w:rsidRPr="009A10F2" w:rsidRDefault="0020293E" w:rsidP="0049276F">
            <w:pPr>
              <w:autoSpaceDE w:val="0"/>
              <w:autoSpaceDN w:val="0"/>
              <w:adjustRightInd w:val="0"/>
              <w:spacing w:beforeLines="60" w:afterLines="60"/>
              <w:ind w:left="360"/>
              <w:rPr>
                <w:rFonts w:ascii="Verdana" w:hAnsi="Verdana" w:cs="Arial"/>
                <w:sz w:val="20"/>
                <w:szCs w:val="20"/>
              </w:rPr>
            </w:pPr>
            <w:r w:rsidRPr="00925661">
              <w:rPr>
                <w:rFonts w:ascii="Verdana" w:hAnsi="Verdana" w:cs="Arial"/>
                <w:i/>
                <w:sz w:val="20"/>
                <w:szCs w:val="20"/>
              </w:rPr>
              <w:t>FY 2008-09 Performance measure:</w:t>
            </w:r>
            <w:r>
              <w:rPr>
                <w:rFonts w:ascii="Verdana" w:hAnsi="Verdana" w:cs="Arial"/>
                <w:sz w:val="20"/>
                <w:szCs w:val="20"/>
              </w:rPr>
              <w:t xml:space="preserve"> 109,185 households served.</w:t>
            </w:r>
          </w:p>
        </w:tc>
      </w:tr>
      <w:tr w:rsidR="0020293E" w:rsidRPr="009A10F2" w:rsidTr="00695731">
        <w:trPr>
          <w:cantSplit/>
          <w:trHeight w:val="470"/>
        </w:trPr>
        <w:tc>
          <w:tcPr>
            <w:tcW w:w="314" w:type="pct"/>
            <w:shd w:val="clear" w:color="auto" w:fill="auto"/>
          </w:tcPr>
          <w:p w:rsidR="0020293E" w:rsidRPr="009A10F2" w:rsidRDefault="0020293E" w:rsidP="0049276F">
            <w:pPr>
              <w:autoSpaceDE w:val="0"/>
              <w:autoSpaceDN w:val="0"/>
              <w:adjustRightInd w:val="0"/>
              <w:spacing w:beforeLines="60" w:afterLines="60"/>
              <w:rPr>
                <w:rFonts w:ascii="Verdana" w:hAnsi="Verdana" w:cs="Arial"/>
                <w:sz w:val="16"/>
                <w:szCs w:val="16"/>
              </w:rPr>
            </w:pPr>
          </w:p>
        </w:tc>
        <w:tc>
          <w:tcPr>
            <w:tcW w:w="369" w:type="pct"/>
            <w:shd w:val="clear" w:color="auto" w:fill="auto"/>
          </w:tcPr>
          <w:p w:rsidR="0020293E" w:rsidRPr="009A10F2" w:rsidRDefault="0020293E" w:rsidP="0049276F">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Modify</w:t>
            </w:r>
          </w:p>
        </w:tc>
        <w:tc>
          <w:tcPr>
            <w:tcW w:w="4317" w:type="pct"/>
            <w:vMerge/>
            <w:tcBorders>
              <w:top w:val="nil"/>
              <w:bottom w:val="nil"/>
            </w:tcBorders>
            <w:shd w:val="clear" w:color="auto" w:fill="auto"/>
          </w:tcPr>
          <w:p w:rsidR="0020293E" w:rsidRDefault="0020293E" w:rsidP="0049276F">
            <w:pPr>
              <w:autoSpaceDE w:val="0"/>
              <w:autoSpaceDN w:val="0"/>
              <w:adjustRightInd w:val="0"/>
              <w:spacing w:beforeLines="60" w:afterLines="60"/>
              <w:rPr>
                <w:rFonts w:ascii="Verdana" w:hAnsi="Verdana" w:cs="Arial"/>
                <w:sz w:val="20"/>
                <w:szCs w:val="20"/>
              </w:rPr>
            </w:pPr>
          </w:p>
        </w:tc>
      </w:tr>
      <w:tr w:rsidR="0020293E" w:rsidRPr="009A10F2" w:rsidTr="003E7E60">
        <w:trPr>
          <w:cantSplit/>
          <w:trHeight w:val="620"/>
        </w:trPr>
        <w:tc>
          <w:tcPr>
            <w:tcW w:w="314" w:type="pct"/>
            <w:shd w:val="clear" w:color="auto" w:fill="auto"/>
          </w:tcPr>
          <w:p w:rsidR="0020293E" w:rsidRPr="009A10F2" w:rsidRDefault="0020293E" w:rsidP="0049276F">
            <w:pPr>
              <w:autoSpaceDE w:val="0"/>
              <w:autoSpaceDN w:val="0"/>
              <w:adjustRightInd w:val="0"/>
              <w:spacing w:beforeLines="60" w:afterLines="60"/>
              <w:rPr>
                <w:rFonts w:ascii="Verdana" w:hAnsi="Verdana" w:cs="Arial"/>
                <w:sz w:val="16"/>
                <w:szCs w:val="16"/>
              </w:rPr>
            </w:pPr>
          </w:p>
        </w:tc>
        <w:tc>
          <w:tcPr>
            <w:tcW w:w="369" w:type="pct"/>
            <w:shd w:val="clear" w:color="auto" w:fill="auto"/>
          </w:tcPr>
          <w:p w:rsidR="0020293E" w:rsidRPr="009A10F2" w:rsidRDefault="0020293E" w:rsidP="0049276F">
            <w:pPr>
              <w:autoSpaceDE w:val="0"/>
              <w:autoSpaceDN w:val="0"/>
              <w:adjustRightInd w:val="0"/>
              <w:spacing w:beforeLines="60" w:afterLines="60"/>
              <w:rPr>
                <w:rFonts w:ascii="Verdana" w:hAnsi="Verdana" w:cs="Arial"/>
                <w:i/>
                <w:sz w:val="16"/>
                <w:szCs w:val="16"/>
              </w:rPr>
            </w:pPr>
            <w:r w:rsidRPr="009A10F2">
              <w:rPr>
                <w:rFonts w:ascii="Verdana" w:hAnsi="Verdana" w:cs="Arial"/>
                <w:i/>
                <w:sz w:val="16"/>
                <w:szCs w:val="16"/>
              </w:rPr>
              <w:t>Abolish</w:t>
            </w:r>
          </w:p>
        </w:tc>
        <w:tc>
          <w:tcPr>
            <w:tcW w:w="4317" w:type="pct"/>
            <w:vMerge/>
            <w:tcBorders>
              <w:top w:val="nil"/>
              <w:bottom w:val="nil"/>
            </w:tcBorders>
            <w:shd w:val="clear" w:color="auto" w:fill="auto"/>
          </w:tcPr>
          <w:p w:rsidR="0020293E" w:rsidRDefault="0020293E" w:rsidP="0049276F">
            <w:pPr>
              <w:autoSpaceDE w:val="0"/>
              <w:autoSpaceDN w:val="0"/>
              <w:adjustRightInd w:val="0"/>
              <w:spacing w:beforeLines="60" w:afterLines="60"/>
              <w:rPr>
                <w:rFonts w:ascii="Verdana" w:hAnsi="Verdana" w:cs="Arial"/>
                <w:sz w:val="20"/>
                <w:szCs w:val="20"/>
              </w:rPr>
            </w:pPr>
          </w:p>
        </w:tc>
      </w:tr>
      <w:tr w:rsidR="00080637" w:rsidRPr="009A10F2" w:rsidTr="00925661">
        <w:trPr>
          <w:cantSplit/>
          <w:trHeight w:val="620"/>
        </w:trPr>
        <w:tc>
          <w:tcPr>
            <w:tcW w:w="314" w:type="pct"/>
          </w:tcPr>
          <w:p w:rsidR="00080637" w:rsidRPr="009A10F2" w:rsidRDefault="00080637" w:rsidP="0049276F">
            <w:pPr>
              <w:spacing w:beforeLines="60" w:afterLines="60"/>
              <w:jc w:val="center"/>
              <w:rPr>
                <w:rFonts w:ascii="Verdana" w:hAnsi="Verdana" w:cs="Arial"/>
                <w:sz w:val="16"/>
                <w:szCs w:val="16"/>
              </w:rPr>
            </w:pPr>
          </w:p>
        </w:tc>
        <w:tc>
          <w:tcPr>
            <w:tcW w:w="369" w:type="pct"/>
          </w:tcPr>
          <w:p w:rsidR="00080637" w:rsidRPr="003E7E60" w:rsidRDefault="00FC6066" w:rsidP="0049276F">
            <w:pPr>
              <w:spacing w:beforeLines="60" w:afterLines="60"/>
              <w:rPr>
                <w:rFonts w:ascii="Verdana" w:hAnsi="Verdana" w:cs="Arial"/>
                <w:i/>
                <w:sz w:val="16"/>
                <w:szCs w:val="16"/>
              </w:rPr>
            </w:pPr>
            <w:r w:rsidRPr="003E7E60">
              <w:rPr>
                <w:rFonts w:ascii="Verdana" w:hAnsi="Verdana" w:cs="Arial"/>
                <w:i/>
                <w:sz w:val="16"/>
                <w:szCs w:val="16"/>
              </w:rPr>
              <w:t>Continue</w:t>
            </w:r>
          </w:p>
        </w:tc>
        <w:tc>
          <w:tcPr>
            <w:tcW w:w="4317" w:type="pct"/>
            <w:vMerge w:val="restart"/>
            <w:tcBorders>
              <w:bottom w:val="single" w:sz="4" w:space="0" w:color="auto"/>
            </w:tcBorders>
          </w:tcPr>
          <w:p w:rsidR="00202588" w:rsidRPr="00FC6066" w:rsidRDefault="00202588" w:rsidP="0049276F">
            <w:pPr>
              <w:autoSpaceDE w:val="0"/>
              <w:autoSpaceDN w:val="0"/>
              <w:adjustRightInd w:val="0"/>
              <w:spacing w:beforeLines="60" w:afterLines="60"/>
              <w:ind w:left="360"/>
              <w:rPr>
                <w:rFonts w:ascii="Verdana" w:hAnsi="Verdana" w:cs="Arial"/>
                <w:b/>
                <w:sz w:val="20"/>
                <w:szCs w:val="20"/>
              </w:rPr>
            </w:pPr>
            <w:r w:rsidRPr="00FC6066">
              <w:rPr>
                <w:rFonts w:ascii="Verdana" w:hAnsi="Verdana" w:cs="Arial"/>
                <w:b/>
                <w:sz w:val="20"/>
                <w:szCs w:val="20"/>
              </w:rPr>
              <w:t>Weatherization Assistance Program (WAP)</w:t>
            </w:r>
            <w:r w:rsidR="00380116">
              <w:rPr>
                <w:rFonts w:ascii="Verdana" w:hAnsi="Verdana" w:cs="Arial"/>
                <w:b/>
                <w:sz w:val="20"/>
                <w:szCs w:val="20"/>
              </w:rPr>
              <w:t xml:space="preserve"> – received ARRA stimulus funding in FY 09-10.</w:t>
            </w:r>
          </w:p>
          <w:p w:rsidR="00202588" w:rsidRDefault="00202588"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P</w:t>
            </w:r>
            <w:r w:rsidRPr="009A10F2">
              <w:rPr>
                <w:rFonts w:ascii="Verdana" w:hAnsi="Verdana" w:cs="Arial"/>
                <w:sz w:val="20"/>
                <w:szCs w:val="20"/>
              </w:rPr>
              <w:t>rovides grants to local governments, non-profits, community action agencies and federally recognized Indian Tribes to improve energy efficiency in low-income housing</w:t>
            </w:r>
            <w:r>
              <w:rPr>
                <w:rFonts w:ascii="Verdana" w:hAnsi="Verdana" w:cs="Arial"/>
                <w:sz w:val="20"/>
                <w:szCs w:val="20"/>
              </w:rPr>
              <w:t xml:space="preserve"> (150% poverty)</w:t>
            </w:r>
            <w:r w:rsidRPr="009A10F2">
              <w:rPr>
                <w:rFonts w:ascii="Verdana" w:hAnsi="Verdana" w:cs="Arial"/>
                <w:sz w:val="20"/>
                <w:szCs w:val="20"/>
              </w:rPr>
              <w:t>. Funds from this program can be used for attic insulation, doors, windows, and the reduction of air infiltration.</w:t>
            </w:r>
            <w:r>
              <w:rPr>
                <w:rFonts w:ascii="Verdana" w:hAnsi="Verdana" w:cs="Arial"/>
                <w:sz w:val="20"/>
                <w:szCs w:val="20"/>
              </w:rPr>
              <w:t xml:space="preserve"> </w:t>
            </w:r>
            <w:r w:rsidR="002E7ECC">
              <w:rPr>
                <w:rFonts w:ascii="Verdana" w:hAnsi="Verdana" w:cs="Arial"/>
                <w:sz w:val="20"/>
                <w:szCs w:val="20"/>
              </w:rPr>
              <w:t xml:space="preserve"> This is a formula based grant and is not competitive.  The program received $175.9M in ARRA </w:t>
            </w:r>
            <w:r w:rsidR="000053D0">
              <w:rPr>
                <w:rFonts w:ascii="Verdana" w:hAnsi="Verdana" w:cs="Arial"/>
                <w:sz w:val="20"/>
                <w:szCs w:val="20"/>
              </w:rPr>
              <w:t xml:space="preserve">stimulus </w:t>
            </w:r>
            <w:r w:rsidR="002E7ECC">
              <w:rPr>
                <w:rFonts w:ascii="Verdana" w:hAnsi="Verdana" w:cs="Arial"/>
                <w:sz w:val="20"/>
                <w:szCs w:val="20"/>
              </w:rPr>
              <w:t>funding that is available through 2012.</w:t>
            </w:r>
          </w:p>
          <w:p w:rsidR="00080637" w:rsidRPr="009A10F2" w:rsidRDefault="00202588" w:rsidP="0049276F">
            <w:pPr>
              <w:autoSpaceDE w:val="0"/>
              <w:autoSpaceDN w:val="0"/>
              <w:adjustRightInd w:val="0"/>
              <w:spacing w:beforeLines="60" w:afterLines="60"/>
              <w:ind w:left="360"/>
              <w:rPr>
                <w:rFonts w:ascii="Verdana" w:hAnsi="Verdana" w:cs="Arial"/>
                <w:sz w:val="20"/>
                <w:szCs w:val="20"/>
              </w:rPr>
            </w:pPr>
            <w:r w:rsidRPr="00E9714D">
              <w:rPr>
                <w:rFonts w:ascii="Verdana" w:hAnsi="Verdana" w:cs="Arial"/>
                <w:i/>
                <w:sz w:val="20"/>
                <w:szCs w:val="20"/>
              </w:rPr>
              <w:t>FY 2008-09 Performance measure:</w:t>
            </w:r>
            <w:r>
              <w:rPr>
                <w:rFonts w:ascii="Verdana" w:hAnsi="Verdana" w:cs="Arial"/>
                <w:sz w:val="20"/>
                <w:szCs w:val="20"/>
              </w:rPr>
              <w:t xml:space="preserve"> 360,481 MBTU saved by recipients of program services.</w:t>
            </w:r>
          </w:p>
        </w:tc>
      </w:tr>
      <w:tr w:rsidR="00080637" w:rsidRPr="009A10F2" w:rsidTr="00925661">
        <w:trPr>
          <w:cantSplit/>
          <w:trHeight w:val="665"/>
        </w:trPr>
        <w:tc>
          <w:tcPr>
            <w:tcW w:w="314" w:type="pct"/>
          </w:tcPr>
          <w:p w:rsidR="00080637" w:rsidRPr="009A10F2" w:rsidRDefault="00080637" w:rsidP="0049276F">
            <w:pPr>
              <w:spacing w:beforeLines="60" w:afterLines="60"/>
              <w:rPr>
                <w:rFonts w:ascii="Verdana" w:hAnsi="Verdana" w:cs="Arial"/>
                <w:sz w:val="16"/>
                <w:szCs w:val="16"/>
              </w:rPr>
            </w:pPr>
          </w:p>
        </w:tc>
        <w:tc>
          <w:tcPr>
            <w:tcW w:w="369" w:type="pct"/>
          </w:tcPr>
          <w:p w:rsidR="00080637" w:rsidRPr="003E7E60" w:rsidRDefault="00FC6066" w:rsidP="0049276F">
            <w:pPr>
              <w:spacing w:beforeLines="60" w:afterLines="60"/>
              <w:rPr>
                <w:rFonts w:ascii="Verdana" w:hAnsi="Verdana" w:cs="Arial"/>
                <w:i/>
                <w:sz w:val="16"/>
                <w:szCs w:val="16"/>
              </w:rPr>
            </w:pPr>
            <w:r w:rsidRPr="003E7E60">
              <w:rPr>
                <w:rFonts w:ascii="Verdana" w:hAnsi="Verdana" w:cs="Arial"/>
                <w:i/>
                <w:sz w:val="16"/>
                <w:szCs w:val="16"/>
              </w:rPr>
              <w:t>Modify</w:t>
            </w:r>
          </w:p>
        </w:tc>
        <w:tc>
          <w:tcPr>
            <w:tcW w:w="4317" w:type="pct"/>
            <w:vMerge/>
            <w:tcBorders>
              <w:top w:val="nil"/>
              <w:bottom w:val="single" w:sz="4" w:space="0" w:color="auto"/>
            </w:tcBorders>
          </w:tcPr>
          <w:p w:rsidR="008566FB" w:rsidRDefault="008566FB" w:rsidP="0049276F">
            <w:pPr>
              <w:numPr>
                <w:ilvl w:val="0"/>
                <w:numId w:val="29"/>
              </w:numPr>
              <w:autoSpaceDE w:val="0"/>
              <w:autoSpaceDN w:val="0"/>
              <w:adjustRightInd w:val="0"/>
              <w:spacing w:beforeLines="60" w:afterLines="60"/>
              <w:rPr>
                <w:rFonts w:ascii="Verdana" w:hAnsi="Verdana" w:cs="Arial"/>
                <w:sz w:val="20"/>
                <w:szCs w:val="20"/>
              </w:rPr>
            </w:pPr>
          </w:p>
        </w:tc>
      </w:tr>
      <w:tr w:rsidR="00080637" w:rsidRPr="009A10F2" w:rsidTr="00925661">
        <w:trPr>
          <w:cantSplit/>
          <w:trHeight w:val="424"/>
        </w:trPr>
        <w:tc>
          <w:tcPr>
            <w:tcW w:w="314" w:type="pct"/>
          </w:tcPr>
          <w:p w:rsidR="00080637" w:rsidRPr="009A10F2" w:rsidRDefault="00080637" w:rsidP="0049276F">
            <w:pPr>
              <w:spacing w:beforeLines="60" w:afterLines="60"/>
              <w:rPr>
                <w:rFonts w:ascii="Verdana" w:hAnsi="Verdana" w:cs="Arial"/>
                <w:sz w:val="16"/>
                <w:szCs w:val="16"/>
              </w:rPr>
            </w:pPr>
          </w:p>
        </w:tc>
        <w:tc>
          <w:tcPr>
            <w:tcW w:w="369" w:type="pct"/>
          </w:tcPr>
          <w:p w:rsidR="00080637" w:rsidRPr="003E7E60" w:rsidRDefault="00FC6066" w:rsidP="0049276F">
            <w:pPr>
              <w:spacing w:beforeLines="60" w:afterLines="60"/>
              <w:rPr>
                <w:rFonts w:ascii="Verdana" w:hAnsi="Verdana" w:cs="Arial"/>
                <w:i/>
                <w:sz w:val="16"/>
                <w:szCs w:val="16"/>
              </w:rPr>
            </w:pPr>
            <w:r w:rsidRPr="003E7E60">
              <w:rPr>
                <w:rFonts w:ascii="Verdana" w:hAnsi="Verdana" w:cs="Arial"/>
                <w:i/>
                <w:sz w:val="16"/>
                <w:szCs w:val="16"/>
              </w:rPr>
              <w:t>Abolish</w:t>
            </w:r>
          </w:p>
        </w:tc>
        <w:tc>
          <w:tcPr>
            <w:tcW w:w="4317" w:type="pct"/>
            <w:vMerge/>
            <w:tcBorders>
              <w:top w:val="nil"/>
              <w:bottom w:val="single" w:sz="4" w:space="0" w:color="auto"/>
            </w:tcBorders>
          </w:tcPr>
          <w:p w:rsidR="008566FB" w:rsidRDefault="008566FB" w:rsidP="0049276F">
            <w:pPr>
              <w:numPr>
                <w:ilvl w:val="0"/>
                <w:numId w:val="29"/>
              </w:numPr>
              <w:autoSpaceDE w:val="0"/>
              <w:autoSpaceDN w:val="0"/>
              <w:adjustRightInd w:val="0"/>
              <w:spacing w:beforeLines="60" w:afterLines="60"/>
              <w:rPr>
                <w:rFonts w:ascii="Verdana" w:hAnsi="Verdana" w:cs="Arial"/>
                <w:sz w:val="20"/>
                <w:szCs w:val="20"/>
              </w:rPr>
            </w:pPr>
          </w:p>
        </w:tc>
      </w:tr>
      <w:tr w:rsidR="00080637" w:rsidRPr="009A10F2" w:rsidTr="00925661">
        <w:trPr>
          <w:cantSplit/>
          <w:trHeight w:val="520"/>
        </w:trPr>
        <w:tc>
          <w:tcPr>
            <w:tcW w:w="314" w:type="pct"/>
          </w:tcPr>
          <w:p w:rsidR="00080637" w:rsidRPr="009A10F2" w:rsidRDefault="00080637" w:rsidP="0049276F">
            <w:pPr>
              <w:spacing w:beforeLines="60" w:afterLines="60"/>
              <w:rPr>
                <w:rFonts w:ascii="Verdana" w:hAnsi="Verdana" w:cs="Arial"/>
                <w:sz w:val="16"/>
                <w:szCs w:val="16"/>
              </w:rPr>
            </w:pPr>
          </w:p>
        </w:tc>
        <w:tc>
          <w:tcPr>
            <w:tcW w:w="369" w:type="pct"/>
          </w:tcPr>
          <w:p w:rsidR="00080637" w:rsidRPr="003E7E60" w:rsidRDefault="00FC6066" w:rsidP="0049276F">
            <w:pPr>
              <w:spacing w:beforeLines="60" w:afterLines="60"/>
              <w:rPr>
                <w:rFonts w:ascii="Verdana" w:hAnsi="Verdana" w:cs="Arial"/>
                <w:i/>
                <w:sz w:val="16"/>
                <w:szCs w:val="16"/>
              </w:rPr>
            </w:pPr>
            <w:r w:rsidRPr="003E7E60">
              <w:rPr>
                <w:rFonts w:ascii="Verdana" w:hAnsi="Verdana" w:cs="Arial"/>
                <w:i/>
                <w:sz w:val="16"/>
                <w:szCs w:val="16"/>
              </w:rPr>
              <w:t>Continue</w:t>
            </w:r>
          </w:p>
        </w:tc>
        <w:tc>
          <w:tcPr>
            <w:tcW w:w="4317" w:type="pct"/>
            <w:vMerge w:val="restart"/>
            <w:tcBorders>
              <w:top w:val="single" w:sz="4" w:space="0" w:color="auto"/>
              <w:bottom w:val="nil"/>
            </w:tcBorders>
          </w:tcPr>
          <w:p w:rsidR="00202588" w:rsidRPr="003E7E60" w:rsidRDefault="00202588" w:rsidP="0049276F">
            <w:pPr>
              <w:autoSpaceDE w:val="0"/>
              <w:autoSpaceDN w:val="0"/>
              <w:adjustRightInd w:val="0"/>
              <w:spacing w:beforeLines="60" w:afterLines="60"/>
              <w:ind w:left="360"/>
              <w:rPr>
                <w:rFonts w:ascii="Verdana" w:hAnsi="Verdana" w:cs="Arial"/>
                <w:b/>
                <w:i/>
                <w:sz w:val="20"/>
                <w:szCs w:val="20"/>
              </w:rPr>
            </w:pPr>
            <w:r w:rsidRPr="003E7E60">
              <w:rPr>
                <w:rFonts w:ascii="Verdana" w:hAnsi="Verdana" w:cs="Arial"/>
                <w:b/>
                <w:i/>
                <w:sz w:val="20"/>
                <w:szCs w:val="20"/>
              </w:rPr>
              <w:t>Low-Income Emergency Home Repair</w:t>
            </w:r>
            <w:r w:rsidR="009D3AD6" w:rsidRPr="003E7E60">
              <w:rPr>
                <w:rFonts w:ascii="Verdana" w:hAnsi="Verdana" w:cs="Arial"/>
                <w:b/>
                <w:i/>
                <w:sz w:val="20"/>
                <w:szCs w:val="20"/>
              </w:rPr>
              <w:t xml:space="preserve"> </w:t>
            </w:r>
            <w:r w:rsidR="009D3AD6" w:rsidRPr="003E7E60">
              <w:rPr>
                <w:rFonts w:ascii="Verdana" w:hAnsi="Verdana" w:cs="Arial"/>
                <w:b/>
                <w:i/>
                <w:sz w:val="16"/>
                <w:szCs w:val="16"/>
              </w:rPr>
              <w:t>(State funded)</w:t>
            </w:r>
            <w:r w:rsidRPr="003E7E60">
              <w:rPr>
                <w:rFonts w:ascii="Verdana" w:hAnsi="Verdana" w:cs="Arial"/>
                <w:b/>
                <w:i/>
                <w:sz w:val="20"/>
                <w:szCs w:val="20"/>
              </w:rPr>
              <w:t xml:space="preserve"> </w:t>
            </w:r>
          </w:p>
          <w:p w:rsidR="00202588" w:rsidRPr="003E7E60" w:rsidRDefault="00202588" w:rsidP="0049276F">
            <w:pPr>
              <w:autoSpaceDE w:val="0"/>
              <w:autoSpaceDN w:val="0"/>
              <w:adjustRightInd w:val="0"/>
              <w:spacing w:beforeLines="60" w:afterLines="60"/>
              <w:ind w:left="360"/>
              <w:rPr>
                <w:rFonts w:ascii="Verdana" w:hAnsi="Verdana" w:cs="Arial"/>
                <w:i/>
                <w:sz w:val="20"/>
                <w:szCs w:val="20"/>
              </w:rPr>
            </w:pPr>
            <w:r w:rsidRPr="003E7E60">
              <w:rPr>
                <w:rFonts w:ascii="Verdana" w:hAnsi="Verdana" w:cs="Arial"/>
                <w:i/>
                <w:sz w:val="20"/>
                <w:szCs w:val="20"/>
              </w:rPr>
              <w:t xml:space="preserve">Provides additional </w:t>
            </w:r>
            <w:r w:rsidR="002E7ECC" w:rsidRPr="003E7E60">
              <w:rPr>
                <w:rFonts w:ascii="Verdana" w:hAnsi="Verdana" w:cs="Arial"/>
                <w:i/>
                <w:sz w:val="20"/>
                <w:szCs w:val="20"/>
              </w:rPr>
              <w:t xml:space="preserve">formula based </w:t>
            </w:r>
            <w:r w:rsidRPr="003E7E60">
              <w:rPr>
                <w:rFonts w:ascii="Verdana" w:hAnsi="Verdana" w:cs="Arial"/>
                <w:i/>
                <w:sz w:val="20"/>
                <w:szCs w:val="20"/>
              </w:rPr>
              <w:t>funding to WAP sub-grantees to assist low-income people, especially elderly and physically disabled, with emergency housing repairs that affect their health and safety</w:t>
            </w:r>
            <w:r w:rsidR="009D3AD6" w:rsidRPr="003E7E60">
              <w:rPr>
                <w:rFonts w:ascii="Verdana" w:hAnsi="Verdana" w:cs="Arial"/>
                <w:i/>
                <w:sz w:val="20"/>
                <w:szCs w:val="20"/>
              </w:rPr>
              <w:t xml:space="preserve"> and allow them to “age in place” rather than becoming dependent on taxpayer assistance</w:t>
            </w:r>
            <w:r w:rsidRPr="003E7E60">
              <w:rPr>
                <w:rFonts w:ascii="Verdana" w:hAnsi="Verdana" w:cs="Arial"/>
                <w:i/>
                <w:sz w:val="20"/>
                <w:szCs w:val="20"/>
              </w:rPr>
              <w:t>.</w:t>
            </w:r>
            <w:r w:rsidR="009D3AD6" w:rsidRPr="003E7E60">
              <w:rPr>
                <w:rFonts w:ascii="Verdana" w:hAnsi="Verdana" w:cs="Arial"/>
                <w:i/>
                <w:sz w:val="20"/>
                <w:szCs w:val="20"/>
              </w:rPr>
              <w:t xml:space="preserve">  </w:t>
            </w:r>
          </w:p>
          <w:p w:rsidR="00080637" w:rsidRPr="003E7E60" w:rsidRDefault="002E7ECC" w:rsidP="0049276F">
            <w:pPr>
              <w:autoSpaceDE w:val="0"/>
              <w:autoSpaceDN w:val="0"/>
              <w:adjustRightInd w:val="0"/>
              <w:spacing w:beforeLines="60" w:afterLines="60"/>
              <w:ind w:left="360"/>
              <w:rPr>
                <w:rFonts w:ascii="Verdana" w:hAnsi="Verdana" w:cs="Arial"/>
                <w:i/>
                <w:sz w:val="20"/>
                <w:szCs w:val="20"/>
              </w:rPr>
            </w:pPr>
            <w:r w:rsidRPr="003E7E60">
              <w:rPr>
                <w:rFonts w:ascii="Verdana" w:hAnsi="Verdana" w:cs="Arial"/>
                <w:i/>
                <w:sz w:val="20"/>
                <w:szCs w:val="20"/>
              </w:rPr>
              <w:t xml:space="preserve">Note: </w:t>
            </w:r>
            <w:r w:rsidR="002E6EF3" w:rsidRPr="003E7E60">
              <w:rPr>
                <w:rFonts w:ascii="Verdana" w:hAnsi="Verdana" w:cs="Arial"/>
                <w:i/>
                <w:sz w:val="20"/>
                <w:szCs w:val="20"/>
              </w:rPr>
              <w:t xml:space="preserve"> </w:t>
            </w:r>
            <w:r w:rsidR="002E6EF3" w:rsidRPr="003E7E60">
              <w:rPr>
                <w:rFonts w:ascii="Helv" w:hAnsi="Helv" w:cs="Helv"/>
                <w:i/>
                <w:color w:val="000000"/>
                <w:sz w:val="20"/>
                <w:szCs w:val="20"/>
              </w:rPr>
              <w:t>The program has received funding one time over the last five years.  LEHRP received $1million through the My Safe Florida Home program in FY 07-08.</w:t>
            </w:r>
          </w:p>
        </w:tc>
      </w:tr>
      <w:tr w:rsidR="00080637" w:rsidRPr="009A10F2" w:rsidTr="00925661">
        <w:trPr>
          <w:cantSplit/>
          <w:trHeight w:val="518"/>
        </w:trPr>
        <w:tc>
          <w:tcPr>
            <w:tcW w:w="314" w:type="pct"/>
          </w:tcPr>
          <w:p w:rsidR="00080637" w:rsidRPr="009A10F2" w:rsidRDefault="00080637" w:rsidP="0049276F">
            <w:pPr>
              <w:spacing w:beforeLines="60" w:afterLines="60"/>
              <w:jc w:val="center"/>
              <w:rPr>
                <w:rFonts w:ascii="Verdana" w:hAnsi="Verdana" w:cs="Arial"/>
                <w:sz w:val="16"/>
                <w:szCs w:val="16"/>
              </w:rPr>
            </w:pPr>
          </w:p>
        </w:tc>
        <w:tc>
          <w:tcPr>
            <w:tcW w:w="369" w:type="pct"/>
          </w:tcPr>
          <w:p w:rsidR="00080637" w:rsidRPr="003E7E60" w:rsidRDefault="00FC6066" w:rsidP="0049276F">
            <w:pPr>
              <w:spacing w:beforeLines="60" w:afterLines="60"/>
              <w:rPr>
                <w:rFonts w:ascii="Verdana" w:hAnsi="Verdana" w:cs="Arial"/>
                <w:i/>
                <w:sz w:val="16"/>
                <w:szCs w:val="16"/>
              </w:rPr>
            </w:pPr>
            <w:r w:rsidRPr="003E7E60">
              <w:rPr>
                <w:rFonts w:ascii="Verdana" w:hAnsi="Verdana" w:cs="Arial"/>
                <w:i/>
                <w:sz w:val="16"/>
                <w:szCs w:val="16"/>
              </w:rPr>
              <w:t>Modify</w:t>
            </w:r>
          </w:p>
        </w:tc>
        <w:tc>
          <w:tcPr>
            <w:tcW w:w="4317" w:type="pct"/>
            <w:vMerge/>
            <w:tcBorders>
              <w:top w:val="nil"/>
              <w:bottom w:val="nil"/>
            </w:tcBorders>
          </w:tcPr>
          <w:p w:rsidR="008566FB" w:rsidRPr="003E7E60" w:rsidRDefault="008566FB" w:rsidP="0049276F">
            <w:pPr>
              <w:numPr>
                <w:ilvl w:val="0"/>
                <w:numId w:val="29"/>
              </w:numPr>
              <w:autoSpaceDE w:val="0"/>
              <w:autoSpaceDN w:val="0"/>
              <w:adjustRightInd w:val="0"/>
              <w:spacing w:beforeLines="60" w:afterLines="60"/>
              <w:rPr>
                <w:rFonts w:ascii="Verdana" w:hAnsi="Verdana" w:cs="Arial"/>
                <w:i/>
                <w:sz w:val="20"/>
                <w:szCs w:val="20"/>
              </w:rPr>
            </w:pPr>
          </w:p>
        </w:tc>
      </w:tr>
      <w:tr w:rsidR="00080637" w:rsidRPr="009A10F2" w:rsidTr="00925661">
        <w:trPr>
          <w:cantSplit/>
          <w:trHeight w:val="518"/>
        </w:trPr>
        <w:tc>
          <w:tcPr>
            <w:tcW w:w="314" w:type="pct"/>
          </w:tcPr>
          <w:p w:rsidR="00080637" w:rsidRPr="009A10F2" w:rsidRDefault="00080637" w:rsidP="0049276F">
            <w:pPr>
              <w:spacing w:beforeLines="60" w:afterLines="60"/>
              <w:rPr>
                <w:rFonts w:ascii="Verdana" w:hAnsi="Verdana" w:cs="Arial"/>
                <w:sz w:val="16"/>
                <w:szCs w:val="16"/>
              </w:rPr>
            </w:pPr>
          </w:p>
        </w:tc>
        <w:tc>
          <w:tcPr>
            <w:tcW w:w="369" w:type="pct"/>
          </w:tcPr>
          <w:p w:rsidR="00080637" w:rsidRPr="003E7E60" w:rsidRDefault="00FC6066" w:rsidP="0049276F">
            <w:pPr>
              <w:spacing w:beforeLines="60" w:afterLines="60"/>
              <w:rPr>
                <w:rFonts w:ascii="Verdana" w:hAnsi="Verdana" w:cs="Arial"/>
                <w:i/>
                <w:sz w:val="16"/>
                <w:szCs w:val="16"/>
              </w:rPr>
            </w:pPr>
            <w:r w:rsidRPr="003E7E60">
              <w:rPr>
                <w:rFonts w:ascii="Verdana" w:hAnsi="Verdana" w:cs="Arial"/>
                <w:i/>
                <w:sz w:val="16"/>
                <w:szCs w:val="16"/>
              </w:rPr>
              <w:t>Abolish</w:t>
            </w:r>
          </w:p>
        </w:tc>
        <w:tc>
          <w:tcPr>
            <w:tcW w:w="4317" w:type="pct"/>
            <w:vMerge/>
            <w:tcBorders>
              <w:top w:val="nil"/>
              <w:bottom w:val="nil"/>
            </w:tcBorders>
          </w:tcPr>
          <w:p w:rsidR="008566FB" w:rsidRPr="003E7E60" w:rsidRDefault="008566FB" w:rsidP="0049276F">
            <w:pPr>
              <w:numPr>
                <w:ilvl w:val="0"/>
                <w:numId w:val="29"/>
              </w:numPr>
              <w:autoSpaceDE w:val="0"/>
              <w:autoSpaceDN w:val="0"/>
              <w:adjustRightInd w:val="0"/>
              <w:spacing w:beforeLines="60" w:afterLines="60"/>
              <w:rPr>
                <w:rFonts w:ascii="Verdana" w:hAnsi="Verdana" w:cs="Arial"/>
                <w:i/>
                <w:sz w:val="20"/>
                <w:szCs w:val="20"/>
              </w:rPr>
            </w:pPr>
          </w:p>
        </w:tc>
      </w:tr>
      <w:tr w:rsidR="0089275A" w:rsidRPr="009A10F2" w:rsidTr="00925661">
        <w:trPr>
          <w:cantSplit/>
          <w:trHeight w:val="701"/>
        </w:trPr>
        <w:tc>
          <w:tcPr>
            <w:tcW w:w="314" w:type="pct"/>
          </w:tcPr>
          <w:p w:rsidR="0089275A" w:rsidRPr="009A10F2" w:rsidRDefault="00E17B66" w:rsidP="0049276F">
            <w:pPr>
              <w:tabs>
                <w:tab w:val="center" w:pos="351"/>
              </w:tabs>
              <w:spacing w:beforeLines="60" w:afterLines="60"/>
              <w:rPr>
                <w:rFonts w:ascii="Verdana" w:hAnsi="Verdana" w:cs="Arial"/>
                <w:sz w:val="16"/>
                <w:szCs w:val="16"/>
              </w:rPr>
            </w:pPr>
            <w:r>
              <w:rPr>
                <w:rFonts w:ascii="Verdana" w:hAnsi="Verdana" w:cs="Arial"/>
                <w:sz w:val="16"/>
                <w:szCs w:val="16"/>
              </w:rPr>
              <w:tab/>
            </w:r>
          </w:p>
        </w:tc>
        <w:tc>
          <w:tcPr>
            <w:tcW w:w="369" w:type="pct"/>
          </w:tcPr>
          <w:p w:rsidR="0089275A" w:rsidRPr="003E7E60" w:rsidRDefault="0089275A" w:rsidP="0049276F">
            <w:pPr>
              <w:spacing w:beforeLines="60" w:afterLines="60"/>
              <w:rPr>
                <w:rFonts w:ascii="Verdana" w:hAnsi="Verdana" w:cs="Arial"/>
                <w:i/>
                <w:sz w:val="16"/>
                <w:szCs w:val="16"/>
              </w:rPr>
            </w:pPr>
            <w:r w:rsidRPr="003E7E60">
              <w:rPr>
                <w:rFonts w:ascii="Verdana" w:hAnsi="Verdana" w:cs="Arial"/>
                <w:i/>
                <w:sz w:val="16"/>
                <w:szCs w:val="16"/>
              </w:rPr>
              <w:t>Continue</w:t>
            </w:r>
          </w:p>
        </w:tc>
        <w:tc>
          <w:tcPr>
            <w:tcW w:w="4317" w:type="pct"/>
            <w:vMerge w:val="restart"/>
            <w:tcBorders>
              <w:bottom w:val="nil"/>
            </w:tcBorders>
          </w:tcPr>
          <w:p w:rsidR="003E1EF8" w:rsidRPr="003E7E60" w:rsidRDefault="0089275A" w:rsidP="0049276F">
            <w:pPr>
              <w:autoSpaceDE w:val="0"/>
              <w:autoSpaceDN w:val="0"/>
              <w:adjustRightInd w:val="0"/>
              <w:spacing w:beforeLines="60" w:afterLines="60"/>
              <w:ind w:left="360"/>
              <w:rPr>
                <w:rFonts w:ascii="Verdana" w:hAnsi="Verdana" w:cs="Arial"/>
                <w:i/>
                <w:sz w:val="20"/>
                <w:szCs w:val="20"/>
              </w:rPr>
            </w:pPr>
            <w:r w:rsidRPr="003E7E60">
              <w:rPr>
                <w:rFonts w:ascii="Verdana" w:hAnsi="Verdana" w:cs="Arial"/>
                <w:b/>
                <w:i/>
                <w:sz w:val="20"/>
                <w:szCs w:val="20"/>
              </w:rPr>
              <w:t>Florida Access to Civil Legal Assistance Program</w:t>
            </w:r>
            <w:r w:rsidRPr="003E7E60">
              <w:rPr>
                <w:rFonts w:ascii="Verdana" w:hAnsi="Verdana" w:cs="Arial"/>
                <w:i/>
                <w:sz w:val="20"/>
                <w:szCs w:val="20"/>
              </w:rPr>
              <w:t xml:space="preserve"> </w:t>
            </w:r>
          </w:p>
          <w:p w:rsidR="0089275A" w:rsidRPr="003E7E60" w:rsidRDefault="00FC6066" w:rsidP="0049276F">
            <w:pPr>
              <w:autoSpaceDE w:val="0"/>
              <w:autoSpaceDN w:val="0"/>
              <w:adjustRightInd w:val="0"/>
              <w:spacing w:beforeLines="60" w:afterLines="60"/>
              <w:ind w:left="360"/>
              <w:rPr>
                <w:rFonts w:ascii="Verdana" w:hAnsi="Verdana" w:cs="Arial"/>
                <w:i/>
                <w:sz w:val="20"/>
                <w:szCs w:val="20"/>
              </w:rPr>
            </w:pPr>
            <w:r w:rsidRPr="003E7E60">
              <w:rPr>
                <w:rFonts w:ascii="Verdana" w:hAnsi="Verdana" w:cs="Arial"/>
                <w:i/>
                <w:sz w:val="20"/>
                <w:szCs w:val="20"/>
              </w:rPr>
              <w:t>Provides funding for adequate and equitable legal assistance to the indigent population, particularly the elderly and families with children</w:t>
            </w:r>
            <w:r w:rsidR="009D3AD6" w:rsidRPr="003E7E60">
              <w:rPr>
                <w:rFonts w:ascii="Verdana" w:hAnsi="Verdana" w:cs="Arial"/>
                <w:i/>
                <w:sz w:val="20"/>
                <w:szCs w:val="20"/>
              </w:rPr>
              <w:t xml:space="preserve"> (income below 150% poverty)</w:t>
            </w:r>
            <w:r w:rsidRPr="003E7E60">
              <w:rPr>
                <w:rFonts w:ascii="Verdana" w:hAnsi="Verdana" w:cs="Arial"/>
                <w:i/>
                <w:sz w:val="20"/>
                <w:szCs w:val="20"/>
              </w:rPr>
              <w:t xml:space="preserve">.  </w:t>
            </w:r>
            <w:r w:rsidR="00D25954" w:rsidRPr="003E7E60">
              <w:rPr>
                <w:rFonts w:ascii="Verdana" w:hAnsi="Verdana" w:cs="Arial"/>
                <w:i/>
                <w:sz w:val="20"/>
                <w:szCs w:val="20"/>
              </w:rPr>
              <w:t>D</w:t>
            </w:r>
            <w:r w:rsidRPr="003E7E60">
              <w:rPr>
                <w:rFonts w:ascii="Verdana" w:hAnsi="Verdana" w:cs="Arial"/>
                <w:i/>
                <w:sz w:val="20"/>
                <w:szCs w:val="20"/>
              </w:rPr>
              <w:t xml:space="preserve">irect legal representation is provided in various official proceedings and negotiations, as well as through education in rights and responsibilities under the law.  </w:t>
            </w:r>
            <w:r w:rsidR="003E34ED" w:rsidRPr="003E7E60">
              <w:rPr>
                <w:rFonts w:ascii="Verdana" w:hAnsi="Verdana" w:cs="Arial"/>
                <w:i/>
                <w:sz w:val="20"/>
                <w:szCs w:val="20"/>
              </w:rPr>
              <w:t xml:space="preserve">DCA contracts with </w:t>
            </w:r>
            <w:r w:rsidR="00C86EEE" w:rsidRPr="003E7E60">
              <w:rPr>
                <w:rFonts w:ascii="Verdana" w:hAnsi="Verdana" w:cs="Arial"/>
                <w:i/>
                <w:sz w:val="20"/>
                <w:szCs w:val="20"/>
              </w:rPr>
              <w:t xml:space="preserve">the </w:t>
            </w:r>
            <w:r w:rsidRPr="003E7E60">
              <w:rPr>
                <w:rFonts w:ascii="Verdana" w:hAnsi="Verdana" w:cs="Arial"/>
                <w:i/>
                <w:sz w:val="20"/>
                <w:szCs w:val="20"/>
              </w:rPr>
              <w:t>Florida Bar Foundation to manage the program.</w:t>
            </w:r>
            <w:r w:rsidR="009D3AD6" w:rsidRPr="003E7E60">
              <w:rPr>
                <w:rFonts w:ascii="Verdana" w:hAnsi="Verdana" w:cs="Arial"/>
                <w:i/>
                <w:sz w:val="20"/>
                <w:szCs w:val="20"/>
              </w:rPr>
              <w:t xml:space="preserve">  The Florida Bar Foundation sub-contracts with 18 not-for-profit legal aid organizations in 7 judicial circuits.</w:t>
            </w:r>
          </w:p>
        </w:tc>
      </w:tr>
      <w:tr w:rsidR="0089275A" w:rsidRPr="009A10F2" w:rsidTr="00925661">
        <w:trPr>
          <w:cantSplit/>
          <w:trHeight w:val="175"/>
        </w:trPr>
        <w:tc>
          <w:tcPr>
            <w:tcW w:w="314" w:type="pct"/>
          </w:tcPr>
          <w:p w:rsidR="0089275A" w:rsidRPr="009A10F2" w:rsidRDefault="0089275A" w:rsidP="0049276F">
            <w:pPr>
              <w:spacing w:beforeLines="60" w:afterLines="60"/>
              <w:rPr>
                <w:rFonts w:ascii="Verdana" w:hAnsi="Verdana" w:cs="Arial"/>
                <w:sz w:val="16"/>
                <w:szCs w:val="16"/>
              </w:rPr>
            </w:pPr>
          </w:p>
        </w:tc>
        <w:tc>
          <w:tcPr>
            <w:tcW w:w="369" w:type="pct"/>
          </w:tcPr>
          <w:p w:rsidR="0089275A" w:rsidRPr="003E7E60" w:rsidRDefault="0089275A" w:rsidP="0049276F">
            <w:pPr>
              <w:spacing w:beforeLines="60" w:afterLines="60"/>
              <w:rPr>
                <w:rFonts w:ascii="Verdana" w:hAnsi="Verdana" w:cs="Arial"/>
                <w:i/>
                <w:sz w:val="16"/>
                <w:szCs w:val="16"/>
              </w:rPr>
            </w:pPr>
            <w:r w:rsidRPr="003E7E60">
              <w:rPr>
                <w:rFonts w:ascii="Verdana" w:hAnsi="Verdana" w:cs="Arial"/>
                <w:i/>
                <w:sz w:val="16"/>
                <w:szCs w:val="16"/>
              </w:rPr>
              <w:t>Modify</w:t>
            </w:r>
          </w:p>
        </w:tc>
        <w:tc>
          <w:tcPr>
            <w:tcW w:w="4317" w:type="pct"/>
            <w:vMerge/>
            <w:tcBorders>
              <w:top w:val="nil"/>
              <w:bottom w:val="nil"/>
            </w:tcBorders>
          </w:tcPr>
          <w:p w:rsidR="008566FB" w:rsidRPr="003E7E60" w:rsidRDefault="008566FB" w:rsidP="0049276F">
            <w:pPr>
              <w:autoSpaceDE w:val="0"/>
              <w:autoSpaceDN w:val="0"/>
              <w:adjustRightInd w:val="0"/>
              <w:spacing w:beforeLines="60" w:afterLines="60"/>
              <w:rPr>
                <w:rFonts w:ascii="Verdana" w:hAnsi="Verdana" w:cs="Arial"/>
                <w:i/>
                <w:sz w:val="20"/>
                <w:szCs w:val="20"/>
              </w:rPr>
            </w:pPr>
          </w:p>
        </w:tc>
      </w:tr>
      <w:tr w:rsidR="0089275A" w:rsidRPr="009A10F2" w:rsidTr="00925661">
        <w:trPr>
          <w:cantSplit/>
          <w:trHeight w:val="175"/>
        </w:trPr>
        <w:tc>
          <w:tcPr>
            <w:tcW w:w="314" w:type="pct"/>
          </w:tcPr>
          <w:p w:rsidR="0089275A" w:rsidRPr="009A10F2" w:rsidRDefault="0089275A" w:rsidP="0049276F">
            <w:pPr>
              <w:spacing w:beforeLines="60" w:afterLines="60"/>
              <w:rPr>
                <w:rFonts w:ascii="Verdana" w:hAnsi="Verdana" w:cs="Arial"/>
                <w:sz w:val="16"/>
                <w:szCs w:val="16"/>
              </w:rPr>
            </w:pPr>
          </w:p>
        </w:tc>
        <w:tc>
          <w:tcPr>
            <w:tcW w:w="369" w:type="pct"/>
          </w:tcPr>
          <w:p w:rsidR="0089275A" w:rsidRPr="003E7E60" w:rsidRDefault="0089275A" w:rsidP="0049276F">
            <w:pPr>
              <w:spacing w:beforeLines="60" w:afterLines="60"/>
              <w:rPr>
                <w:rFonts w:ascii="Verdana" w:hAnsi="Verdana" w:cs="Arial"/>
                <w:i/>
                <w:sz w:val="16"/>
                <w:szCs w:val="16"/>
              </w:rPr>
            </w:pPr>
            <w:r w:rsidRPr="003E7E60">
              <w:rPr>
                <w:rFonts w:ascii="Verdana" w:hAnsi="Verdana" w:cs="Arial"/>
                <w:i/>
                <w:sz w:val="16"/>
                <w:szCs w:val="16"/>
              </w:rPr>
              <w:t>Abolish</w:t>
            </w:r>
          </w:p>
        </w:tc>
        <w:tc>
          <w:tcPr>
            <w:tcW w:w="4317" w:type="pct"/>
            <w:vMerge/>
            <w:tcBorders>
              <w:top w:val="nil"/>
              <w:bottom w:val="nil"/>
            </w:tcBorders>
          </w:tcPr>
          <w:p w:rsidR="008566FB" w:rsidRPr="003E7E60" w:rsidRDefault="008566FB" w:rsidP="0049276F">
            <w:pPr>
              <w:autoSpaceDE w:val="0"/>
              <w:autoSpaceDN w:val="0"/>
              <w:adjustRightInd w:val="0"/>
              <w:spacing w:beforeLines="60" w:afterLines="60"/>
              <w:rPr>
                <w:rFonts w:ascii="Verdana" w:hAnsi="Verdana" w:cs="Arial"/>
                <w:i/>
                <w:sz w:val="20"/>
                <w:szCs w:val="20"/>
              </w:rPr>
            </w:pPr>
          </w:p>
        </w:tc>
      </w:tr>
      <w:tr w:rsidR="00595DD9" w:rsidRPr="009A10F2" w:rsidTr="0020293E">
        <w:trPr>
          <w:cantSplit/>
          <w:trHeight w:val="470"/>
        </w:trPr>
        <w:tc>
          <w:tcPr>
            <w:tcW w:w="683" w:type="pct"/>
            <w:gridSpan w:val="2"/>
            <w:tcBorders>
              <w:bottom w:val="single" w:sz="4" w:space="0" w:color="auto"/>
            </w:tcBorders>
          </w:tcPr>
          <w:p w:rsidR="00595DD9" w:rsidRPr="003E7E60" w:rsidRDefault="00595DD9" w:rsidP="0049276F">
            <w:pPr>
              <w:spacing w:beforeLines="60" w:afterLines="60"/>
              <w:rPr>
                <w:rFonts w:ascii="Verdana" w:hAnsi="Verdana" w:cs="Arial"/>
                <w:i/>
                <w:sz w:val="16"/>
                <w:szCs w:val="16"/>
              </w:rPr>
            </w:pPr>
          </w:p>
        </w:tc>
        <w:tc>
          <w:tcPr>
            <w:tcW w:w="4317" w:type="pct"/>
            <w:tcBorders>
              <w:top w:val="nil"/>
              <w:bottom w:val="single" w:sz="4" w:space="0" w:color="auto"/>
            </w:tcBorders>
          </w:tcPr>
          <w:p w:rsidR="00595DD9" w:rsidRPr="003E7E60" w:rsidRDefault="00E23D2D" w:rsidP="0049276F">
            <w:pPr>
              <w:autoSpaceDE w:val="0"/>
              <w:autoSpaceDN w:val="0"/>
              <w:adjustRightInd w:val="0"/>
              <w:spacing w:beforeLines="60" w:afterLines="60"/>
              <w:ind w:left="360"/>
              <w:rPr>
                <w:rFonts w:ascii="Verdana" w:hAnsi="Verdana" w:cs="Arial"/>
                <w:b/>
                <w:i/>
                <w:sz w:val="20"/>
                <w:szCs w:val="20"/>
              </w:rPr>
            </w:pPr>
            <w:r w:rsidRPr="003E7E60">
              <w:rPr>
                <w:rFonts w:ascii="Verdana" w:hAnsi="Verdana" w:cs="Arial"/>
                <w:i/>
                <w:sz w:val="20"/>
                <w:szCs w:val="20"/>
              </w:rPr>
              <w:t xml:space="preserve">FY 2008-09 </w:t>
            </w:r>
            <w:r w:rsidR="00595DD9" w:rsidRPr="003E7E60">
              <w:rPr>
                <w:rFonts w:ascii="Verdana" w:hAnsi="Verdana" w:cs="Arial"/>
                <w:i/>
                <w:sz w:val="20"/>
                <w:szCs w:val="20"/>
              </w:rPr>
              <w:t>Performance measure:</w:t>
            </w:r>
            <w:r w:rsidRPr="003E7E60">
              <w:rPr>
                <w:rFonts w:ascii="Verdana" w:hAnsi="Verdana" w:cs="Arial"/>
                <w:i/>
                <w:sz w:val="20"/>
                <w:szCs w:val="20"/>
              </w:rPr>
              <w:t xml:space="preserve"> 7,041 clients served</w:t>
            </w:r>
            <w:r w:rsidR="00C53E3D" w:rsidRPr="003E7E60">
              <w:rPr>
                <w:rFonts w:ascii="Verdana" w:hAnsi="Verdana" w:cs="Arial"/>
                <w:i/>
                <w:sz w:val="20"/>
                <w:szCs w:val="20"/>
              </w:rPr>
              <w:t>.</w:t>
            </w:r>
          </w:p>
        </w:tc>
      </w:tr>
      <w:tr w:rsidR="009D3AD6" w:rsidRPr="009A10F2" w:rsidTr="0020293E">
        <w:trPr>
          <w:cantSplit/>
          <w:trHeight w:val="470"/>
        </w:trPr>
        <w:tc>
          <w:tcPr>
            <w:tcW w:w="314" w:type="pct"/>
          </w:tcPr>
          <w:p w:rsidR="009D3AD6" w:rsidRPr="009A10F2" w:rsidRDefault="009D3AD6" w:rsidP="0049276F">
            <w:pPr>
              <w:spacing w:beforeLines="60" w:afterLines="60"/>
              <w:rPr>
                <w:rFonts w:ascii="Verdana" w:hAnsi="Verdana" w:cs="Arial"/>
                <w:sz w:val="16"/>
                <w:szCs w:val="16"/>
              </w:rPr>
            </w:pPr>
          </w:p>
        </w:tc>
        <w:tc>
          <w:tcPr>
            <w:tcW w:w="369" w:type="pct"/>
          </w:tcPr>
          <w:p w:rsidR="009D3AD6" w:rsidRPr="003E7E60" w:rsidRDefault="009D3AD6" w:rsidP="0049276F">
            <w:pPr>
              <w:spacing w:beforeLines="60" w:afterLines="60"/>
              <w:rPr>
                <w:rFonts w:ascii="Verdana" w:hAnsi="Verdana" w:cs="Arial"/>
                <w:i/>
                <w:sz w:val="16"/>
                <w:szCs w:val="16"/>
              </w:rPr>
            </w:pPr>
            <w:r w:rsidRPr="003E7E60">
              <w:rPr>
                <w:rFonts w:ascii="Verdana" w:hAnsi="Verdana" w:cs="Arial"/>
                <w:i/>
                <w:sz w:val="16"/>
                <w:szCs w:val="16"/>
              </w:rPr>
              <w:t>Continue</w:t>
            </w:r>
          </w:p>
        </w:tc>
        <w:tc>
          <w:tcPr>
            <w:tcW w:w="4317" w:type="pct"/>
            <w:vMerge w:val="restart"/>
            <w:tcBorders>
              <w:bottom w:val="nil"/>
            </w:tcBorders>
          </w:tcPr>
          <w:p w:rsidR="009D3AD6" w:rsidRPr="003E7E60" w:rsidRDefault="009D3AD6" w:rsidP="0049276F">
            <w:pPr>
              <w:autoSpaceDE w:val="0"/>
              <w:autoSpaceDN w:val="0"/>
              <w:adjustRightInd w:val="0"/>
              <w:spacing w:beforeLines="60" w:afterLines="60"/>
              <w:ind w:left="360"/>
              <w:rPr>
                <w:rFonts w:ascii="Verdana" w:hAnsi="Verdana" w:cs="Arial"/>
                <w:b/>
                <w:i/>
                <w:sz w:val="20"/>
                <w:szCs w:val="20"/>
              </w:rPr>
            </w:pPr>
            <w:r w:rsidRPr="003E7E60">
              <w:rPr>
                <w:rFonts w:ascii="Verdana" w:hAnsi="Verdana" w:cs="Arial"/>
                <w:b/>
                <w:i/>
                <w:sz w:val="20"/>
                <w:szCs w:val="20"/>
              </w:rPr>
              <w:t xml:space="preserve">Front Porch Florida Initiative/Office of Urban Opportunity </w:t>
            </w:r>
          </w:p>
          <w:p w:rsidR="009D3AD6" w:rsidRPr="003E7E60" w:rsidRDefault="009D3AD6" w:rsidP="0049276F">
            <w:pPr>
              <w:autoSpaceDE w:val="0"/>
              <w:autoSpaceDN w:val="0"/>
              <w:adjustRightInd w:val="0"/>
              <w:spacing w:beforeLines="60" w:afterLines="60"/>
              <w:ind w:left="360"/>
              <w:rPr>
                <w:rFonts w:ascii="Verdana" w:hAnsi="Verdana"/>
                <w:i/>
                <w:sz w:val="20"/>
                <w:szCs w:val="20"/>
              </w:rPr>
            </w:pPr>
            <w:r w:rsidRPr="003E7E60">
              <w:rPr>
                <w:rFonts w:ascii="Verdana" w:hAnsi="Verdana" w:cs="Arial"/>
                <w:i/>
                <w:sz w:val="20"/>
                <w:szCs w:val="20"/>
              </w:rPr>
              <w:t xml:space="preserve">Local revitalization councils develop an urban core redevelopment program which enables residents in eligible communities to craft solutions to the unique challenges in the local area.  </w:t>
            </w:r>
            <w:r w:rsidRPr="003E7E60">
              <w:rPr>
                <w:rFonts w:ascii="Verdana" w:hAnsi="Verdana"/>
                <w:i/>
                <w:sz w:val="20"/>
                <w:szCs w:val="20"/>
              </w:rPr>
              <w:t xml:space="preserve">DCA then coordinates the implementation of the program with the local community by identifying different funding and technical resources that are available. </w:t>
            </w:r>
          </w:p>
          <w:p w:rsidR="009D3AD6" w:rsidRPr="003E7E60" w:rsidRDefault="009D3AD6" w:rsidP="0049276F">
            <w:pPr>
              <w:autoSpaceDE w:val="0"/>
              <w:autoSpaceDN w:val="0"/>
              <w:adjustRightInd w:val="0"/>
              <w:spacing w:beforeLines="60" w:afterLines="60"/>
              <w:ind w:left="360"/>
              <w:rPr>
                <w:rFonts w:ascii="Verdana" w:hAnsi="Verdana" w:cs="Arial"/>
                <w:i/>
                <w:sz w:val="20"/>
                <w:szCs w:val="20"/>
              </w:rPr>
            </w:pPr>
            <w:r w:rsidRPr="003E7E60">
              <w:rPr>
                <w:rFonts w:ascii="Verdana" w:hAnsi="Verdana" w:cs="Arial"/>
                <w:i/>
                <w:sz w:val="20"/>
                <w:szCs w:val="20"/>
              </w:rPr>
              <w:t>FY 2008-09 Performance measure: 87.5% of contracts implemented between Office of Urban Opportunity and Front Porch Florida communities’ Revitalization Councils.</w:t>
            </w:r>
          </w:p>
          <w:p w:rsidR="002E7ECC" w:rsidRPr="003E7E60" w:rsidRDefault="002E7ECC" w:rsidP="0049276F">
            <w:pPr>
              <w:autoSpaceDE w:val="0"/>
              <w:autoSpaceDN w:val="0"/>
              <w:adjustRightInd w:val="0"/>
              <w:spacing w:beforeLines="60" w:afterLines="60"/>
              <w:ind w:left="360"/>
              <w:rPr>
                <w:rFonts w:ascii="Verdana" w:hAnsi="Verdana" w:cs="Arial"/>
                <w:i/>
                <w:sz w:val="20"/>
                <w:szCs w:val="20"/>
              </w:rPr>
            </w:pPr>
            <w:r w:rsidRPr="003E7E60">
              <w:rPr>
                <w:rFonts w:ascii="Verdana" w:hAnsi="Verdana" w:cs="Arial"/>
                <w:i/>
                <w:sz w:val="20"/>
                <w:szCs w:val="20"/>
              </w:rPr>
              <w:t xml:space="preserve">Note:  </w:t>
            </w:r>
            <w:r w:rsidR="003352D8" w:rsidRPr="003E7E60">
              <w:rPr>
                <w:rFonts w:ascii="Verdana" w:hAnsi="Verdana" w:cs="Arial"/>
                <w:i/>
                <w:sz w:val="20"/>
                <w:szCs w:val="20"/>
              </w:rPr>
              <w:t xml:space="preserve">The program </w:t>
            </w:r>
            <w:r w:rsidR="00DB12F5" w:rsidRPr="003E7E60">
              <w:rPr>
                <w:rFonts w:ascii="Verdana" w:hAnsi="Verdana" w:cs="Arial"/>
                <w:i/>
                <w:sz w:val="20"/>
                <w:szCs w:val="20"/>
              </w:rPr>
              <w:t>w</w:t>
            </w:r>
            <w:r w:rsidRPr="003E7E60">
              <w:rPr>
                <w:rFonts w:ascii="Verdana" w:hAnsi="Verdana" w:cs="Arial"/>
                <w:i/>
                <w:sz w:val="20"/>
                <w:szCs w:val="20"/>
              </w:rPr>
              <w:t xml:space="preserve">as not funded by the Florida Legislature </w:t>
            </w:r>
            <w:r w:rsidR="00DB12F5" w:rsidRPr="003E7E60">
              <w:rPr>
                <w:rFonts w:ascii="Verdana" w:hAnsi="Verdana" w:cs="Arial"/>
                <w:i/>
                <w:sz w:val="20"/>
                <w:szCs w:val="20"/>
              </w:rPr>
              <w:t>in</w:t>
            </w:r>
            <w:r w:rsidRPr="003E7E60">
              <w:rPr>
                <w:rFonts w:ascii="Verdana" w:hAnsi="Verdana" w:cs="Arial"/>
                <w:i/>
                <w:sz w:val="20"/>
                <w:szCs w:val="20"/>
              </w:rPr>
              <w:t xml:space="preserve"> FY 09-10. </w:t>
            </w:r>
          </w:p>
        </w:tc>
      </w:tr>
      <w:tr w:rsidR="009D3AD6" w:rsidRPr="009A10F2" w:rsidTr="0020293E">
        <w:trPr>
          <w:cantSplit/>
          <w:trHeight w:val="470"/>
        </w:trPr>
        <w:tc>
          <w:tcPr>
            <w:tcW w:w="314" w:type="pct"/>
          </w:tcPr>
          <w:p w:rsidR="009D3AD6" w:rsidRPr="009A10F2" w:rsidRDefault="009D3AD6" w:rsidP="0049276F">
            <w:pPr>
              <w:spacing w:beforeLines="60" w:afterLines="60"/>
              <w:jc w:val="center"/>
              <w:rPr>
                <w:rFonts w:ascii="Verdana" w:hAnsi="Verdana" w:cs="Arial"/>
                <w:sz w:val="16"/>
                <w:szCs w:val="16"/>
              </w:rPr>
            </w:pPr>
          </w:p>
        </w:tc>
        <w:tc>
          <w:tcPr>
            <w:tcW w:w="369" w:type="pct"/>
          </w:tcPr>
          <w:p w:rsidR="009D3AD6" w:rsidRPr="003E7E60" w:rsidRDefault="009D3AD6" w:rsidP="0049276F">
            <w:pPr>
              <w:spacing w:beforeLines="60" w:afterLines="60"/>
              <w:rPr>
                <w:rFonts w:ascii="Verdana" w:hAnsi="Verdana" w:cs="Arial"/>
                <w:i/>
                <w:sz w:val="16"/>
                <w:szCs w:val="16"/>
              </w:rPr>
            </w:pPr>
            <w:r w:rsidRPr="003E7E60">
              <w:rPr>
                <w:rFonts w:ascii="Verdana" w:hAnsi="Verdana" w:cs="Arial"/>
                <w:i/>
                <w:sz w:val="16"/>
                <w:szCs w:val="16"/>
              </w:rPr>
              <w:t>Modify</w:t>
            </w:r>
          </w:p>
        </w:tc>
        <w:tc>
          <w:tcPr>
            <w:tcW w:w="4317" w:type="pct"/>
            <w:vMerge/>
            <w:tcBorders>
              <w:bottom w:val="nil"/>
            </w:tcBorders>
          </w:tcPr>
          <w:p w:rsidR="008566FB" w:rsidRPr="003E7E60" w:rsidRDefault="008566FB" w:rsidP="0049276F">
            <w:pPr>
              <w:spacing w:beforeLines="60" w:afterLines="60"/>
              <w:rPr>
                <w:rFonts w:ascii="Verdana" w:hAnsi="Verdana" w:cs="Arial"/>
                <w:i/>
                <w:sz w:val="20"/>
                <w:szCs w:val="20"/>
              </w:rPr>
            </w:pPr>
          </w:p>
        </w:tc>
      </w:tr>
      <w:tr w:rsidR="009D3AD6" w:rsidRPr="009A10F2" w:rsidTr="0020293E">
        <w:trPr>
          <w:cantSplit/>
          <w:trHeight w:val="580"/>
        </w:trPr>
        <w:tc>
          <w:tcPr>
            <w:tcW w:w="314" w:type="pct"/>
          </w:tcPr>
          <w:p w:rsidR="009D3AD6" w:rsidRPr="009A10F2" w:rsidRDefault="009D3AD6" w:rsidP="0049276F">
            <w:pPr>
              <w:spacing w:beforeLines="60" w:afterLines="60"/>
              <w:rPr>
                <w:rFonts w:ascii="Verdana" w:hAnsi="Verdana" w:cs="Arial"/>
                <w:sz w:val="16"/>
                <w:szCs w:val="16"/>
              </w:rPr>
            </w:pPr>
          </w:p>
        </w:tc>
        <w:tc>
          <w:tcPr>
            <w:tcW w:w="369" w:type="pct"/>
          </w:tcPr>
          <w:p w:rsidR="009D3AD6" w:rsidRPr="003E7E60" w:rsidRDefault="009D3AD6" w:rsidP="0049276F">
            <w:pPr>
              <w:spacing w:beforeLines="60" w:afterLines="60"/>
              <w:rPr>
                <w:rFonts w:ascii="Verdana" w:hAnsi="Verdana" w:cs="Arial"/>
                <w:i/>
                <w:sz w:val="16"/>
                <w:szCs w:val="16"/>
              </w:rPr>
            </w:pPr>
            <w:r w:rsidRPr="003E7E60">
              <w:rPr>
                <w:rFonts w:ascii="Verdana" w:hAnsi="Verdana" w:cs="Arial"/>
                <w:i/>
                <w:sz w:val="16"/>
                <w:szCs w:val="16"/>
              </w:rPr>
              <w:t>Abolish</w:t>
            </w:r>
          </w:p>
        </w:tc>
        <w:tc>
          <w:tcPr>
            <w:tcW w:w="4317" w:type="pct"/>
            <w:vMerge/>
            <w:tcBorders>
              <w:bottom w:val="nil"/>
            </w:tcBorders>
          </w:tcPr>
          <w:p w:rsidR="008566FB" w:rsidRPr="003E7E60" w:rsidRDefault="008566FB" w:rsidP="0049276F">
            <w:pPr>
              <w:spacing w:beforeLines="60" w:afterLines="60"/>
              <w:rPr>
                <w:rFonts w:ascii="Verdana" w:hAnsi="Verdana" w:cs="Arial"/>
                <w:i/>
                <w:sz w:val="20"/>
                <w:szCs w:val="20"/>
              </w:rPr>
            </w:pPr>
          </w:p>
        </w:tc>
      </w:tr>
      <w:tr w:rsidR="009D3AD6" w:rsidRPr="009A10F2" w:rsidTr="00B32A3E">
        <w:trPr>
          <w:cantSplit/>
          <w:trHeight w:val="579"/>
        </w:trPr>
        <w:tc>
          <w:tcPr>
            <w:tcW w:w="683" w:type="pct"/>
            <w:gridSpan w:val="2"/>
            <w:tcBorders>
              <w:bottom w:val="single" w:sz="4" w:space="0" w:color="auto"/>
            </w:tcBorders>
          </w:tcPr>
          <w:p w:rsidR="009D3AD6" w:rsidRPr="003E7E60" w:rsidRDefault="009D3AD6" w:rsidP="0049276F">
            <w:pPr>
              <w:spacing w:beforeLines="60" w:afterLines="60"/>
              <w:rPr>
                <w:rFonts w:ascii="Verdana" w:hAnsi="Verdana" w:cs="Arial"/>
                <w:i/>
                <w:sz w:val="16"/>
                <w:szCs w:val="16"/>
              </w:rPr>
            </w:pPr>
          </w:p>
        </w:tc>
        <w:tc>
          <w:tcPr>
            <w:tcW w:w="4317" w:type="pct"/>
            <w:vMerge/>
            <w:tcBorders>
              <w:bottom w:val="single" w:sz="4" w:space="0" w:color="auto"/>
            </w:tcBorders>
          </w:tcPr>
          <w:p w:rsidR="008566FB" w:rsidRPr="003E7E60" w:rsidRDefault="008566FB" w:rsidP="0049276F">
            <w:pPr>
              <w:spacing w:beforeLines="60" w:afterLines="60"/>
              <w:rPr>
                <w:rFonts w:ascii="Verdana" w:hAnsi="Verdana" w:cs="Arial"/>
                <w:i/>
                <w:sz w:val="20"/>
                <w:szCs w:val="20"/>
              </w:rPr>
            </w:pPr>
          </w:p>
        </w:tc>
      </w:tr>
      <w:tr w:rsidR="00B32A3E" w:rsidRPr="009A10F2" w:rsidTr="00B32A3E">
        <w:trPr>
          <w:cantSplit/>
        </w:trPr>
        <w:tc>
          <w:tcPr>
            <w:tcW w:w="5000" w:type="pct"/>
            <w:gridSpan w:val="3"/>
            <w:tcBorders>
              <w:top w:val="single" w:sz="4" w:space="0" w:color="auto"/>
            </w:tcBorders>
            <w:shd w:val="pct10" w:color="auto" w:fill="auto"/>
          </w:tcPr>
          <w:p w:rsidR="00B32A3E" w:rsidRPr="003E7E60" w:rsidRDefault="00B32A3E" w:rsidP="0049276F">
            <w:pPr>
              <w:autoSpaceDE w:val="0"/>
              <w:autoSpaceDN w:val="0"/>
              <w:adjustRightInd w:val="0"/>
              <w:spacing w:beforeLines="60" w:afterLines="60"/>
              <w:ind w:left="2160"/>
              <w:rPr>
                <w:rFonts w:ascii="Verdana" w:hAnsi="Verdana" w:cs="Arial"/>
                <w:i/>
                <w:sz w:val="20"/>
                <w:szCs w:val="20"/>
              </w:rPr>
            </w:pPr>
            <w:r w:rsidRPr="003E7E60">
              <w:rPr>
                <w:rFonts w:ascii="Verdana" w:hAnsi="Verdana" w:cs="Arial"/>
                <w:b/>
                <w:i/>
                <w:sz w:val="20"/>
                <w:szCs w:val="20"/>
              </w:rPr>
              <w:lastRenderedPageBreak/>
              <w:t>Building Codes and Standards</w:t>
            </w:r>
          </w:p>
        </w:tc>
      </w:tr>
      <w:tr w:rsidR="0089275A" w:rsidRPr="009A10F2" w:rsidTr="00925661">
        <w:trPr>
          <w:cantSplit/>
          <w:trHeight w:val="385"/>
        </w:trPr>
        <w:tc>
          <w:tcPr>
            <w:tcW w:w="314" w:type="pct"/>
          </w:tcPr>
          <w:p w:rsidR="0089275A" w:rsidRPr="009A10F2" w:rsidRDefault="0089275A" w:rsidP="0049276F">
            <w:pPr>
              <w:spacing w:beforeLines="60" w:afterLines="60"/>
              <w:rPr>
                <w:rFonts w:ascii="Verdana" w:hAnsi="Verdana" w:cs="Arial"/>
                <w:sz w:val="16"/>
                <w:szCs w:val="16"/>
              </w:rPr>
            </w:pPr>
          </w:p>
        </w:tc>
        <w:tc>
          <w:tcPr>
            <w:tcW w:w="369" w:type="pct"/>
          </w:tcPr>
          <w:p w:rsidR="0089275A" w:rsidRPr="003E7E60" w:rsidRDefault="0089275A" w:rsidP="0049276F">
            <w:pPr>
              <w:spacing w:beforeLines="60" w:afterLines="60"/>
              <w:rPr>
                <w:rFonts w:ascii="Verdana" w:hAnsi="Verdana" w:cs="Arial"/>
                <w:i/>
                <w:sz w:val="16"/>
                <w:szCs w:val="16"/>
              </w:rPr>
            </w:pPr>
            <w:r w:rsidRPr="003E7E60">
              <w:rPr>
                <w:rFonts w:ascii="Verdana" w:hAnsi="Verdana" w:cs="Arial"/>
                <w:i/>
                <w:sz w:val="16"/>
                <w:szCs w:val="16"/>
              </w:rPr>
              <w:t>Continue</w:t>
            </w:r>
          </w:p>
        </w:tc>
        <w:tc>
          <w:tcPr>
            <w:tcW w:w="4317" w:type="pct"/>
            <w:vMerge w:val="restart"/>
            <w:tcBorders>
              <w:bottom w:val="nil"/>
            </w:tcBorders>
          </w:tcPr>
          <w:p w:rsidR="00E26465" w:rsidRPr="003E7E60" w:rsidRDefault="00B32A3E" w:rsidP="0049276F">
            <w:pPr>
              <w:autoSpaceDE w:val="0"/>
              <w:autoSpaceDN w:val="0"/>
              <w:adjustRightInd w:val="0"/>
              <w:spacing w:beforeLines="60" w:afterLines="60"/>
              <w:ind w:left="360"/>
              <w:rPr>
                <w:rFonts w:ascii="Verdana" w:hAnsi="Verdana" w:cs="Arial"/>
                <w:b/>
                <w:i/>
                <w:sz w:val="20"/>
                <w:szCs w:val="20"/>
              </w:rPr>
            </w:pPr>
            <w:r>
              <w:rPr>
                <w:rFonts w:ascii="Verdana" w:hAnsi="Verdana" w:cs="Arial"/>
                <w:b/>
                <w:i/>
                <w:sz w:val="20"/>
                <w:szCs w:val="20"/>
              </w:rPr>
              <w:t>Florida Building Code</w:t>
            </w:r>
          </w:p>
          <w:p w:rsidR="00E26465" w:rsidRPr="003E7E60" w:rsidRDefault="0089275A" w:rsidP="0049276F">
            <w:pPr>
              <w:autoSpaceDE w:val="0"/>
              <w:autoSpaceDN w:val="0"/>
              <w:adjustRightInd w:val="0"/>
              <w:spacing w:beforeLines="60" w:afterLines="60"/>
              <w:ind w:left="360"/>
              <w:rPr>
                <w:rFonts w:ascii="Verdana" w:hAnsi="Verdana" w:cs="Arial"/>
                <w:i/>
                <w:sz w:val="20"/>
                <w:szCs w:val="20"/>
              </w:rPr>
            </w:pPr>
            <w:r w:rsidRPr="003E7E60">
              <w:rPr>
                <w:rFonts w:ascii="Verdana" w:hAnsi="Verdana" w:cs="Arial"/>
                <w:i/>
                <w:sz w:val="20"/>
                <w:szCs w:val="20"/>
              </w:rPr>
              <w:t xml:space="preserve">Maintain a unified building code for </w:t>
            </w:r>
            <w:r w:rsidR="005D4B74" w:rsidRPr="003E7E60">
              <w:rPr>
                <w:rFonts w:ascii="Verdana" w:hAnsi="Verdana" w:cs="Arial"/>
                <w:i/>
                <w:sz w:val="20"/>
                <w:szCs w:val="20"/>
              </w:rPr>
              <w:t xml:space="preserve">application throughout </w:t>
            </w:r>
            <w:r w:rsidRPr="003E7E60">
              <w:rPr>
                <w:rFonts w:ascii="Verdana" w:hAnsi="Verdana" w:cs="Arial"/>
                <w:i/>
                <w:sz w:val="20"/>
                <w:szCs w:val="20"/>
              </w:rPr>
              <w:t xml:space="preserve">the  state and </w:t>
            </w:r>
            <w:r w:rsidR="005D4B74" w:rsidRPr="003E7E60">
              <w:rPr>
                <w:rFonts w:ascii="Verdana" w:hAnsi="Verdana" w:cs="Arial"/>
                <w:i/>
                <w:sz w:val="20"/>
                <w:szCs w:val="20"/>
              </w:rPr>
              <w:t xml:space="preserve">supplementing that effort by rendering direct technical assistance and maintaining </w:t>
            </w:r>
            <w:r w:rsidR="007E6623" w:rsidRPr="003E7E60">
              <w:rPr>
                <w:rFonts w:ascii="Verdana" w:hAnsi="Verdana" w:cs="Arial"/>
                <w:i/>
                <w:sz w:val="20"/>
                <w:szCs w:val="20"/>
              </w:rPr>
              <w:t>Building C</w:t>
            </w:r>
            <w:r w:rsidR="005D4B74" w:rsidRPr="003E7E60">
              <w:rPr>
                <w:rFonts w:ascii="Verdana" w:hAnsi="Verdana" w:cs="Arial"/>
                <w:i/>
                <w:sz w:val="20"/>
                <w:szCs w:val="20"/>
              </w:rPr>
              <w:t>ode Information System (BCIS) as the one-</w:t>
            </w:r>
            <w:r w:rsidR="007E6623" w:rsidRPr="003E7E60">
              <w:rPr>
                <w:rFonts w:ascii="Verdana" w:hAnsi="Verdana" w:cs="Arial"/>
                <w:i/>
                <w:sz w:val="20"/>
                <w:szCs w:val="20"/>
              </w:rPr>
              <w:t>s</w:t>
            </w:r>
            <w:r w:rsidR="005D4B74" w:rsidRPr="003E7E60">
              <w:rPr>
                <w:rFonts w:ascii="Verdana" w:hAnsi="Verdana" w:cs="Arial"/>
                <w:i/>
                <w:sz w:val="20"/>
                <w:szCs w:val="20"/>
              </w:rPr>
              <w:t xml:space="preserve">top website for information and business transactions. </w:t>
            </w:r>
          </w:p>
          <w:p w:rsidR="002758F6" w:rsidRPr="003E7E60" w:rsidRDefault="002758F6" w:rsidP="0049276F">
            <w:pPr>
              <w:autoSpaceDE w:val="0"/>
              <w:autoSpaceDN w:val="0"/>
              <w:adjustRightInd w:val="0"/>
              <w:spacing w:beforeLines="60" w:afterLines="60"/>
              <w:ind w:left="360"/>
              <w:rPr>
                <w:rFonts w:ascii="Verdana" w:hAnsi="Verdana" w:cs="Arial"/>
                <w:i/>
                <w:sz w:val="20"/>
                <w:szCs w:val="20"/>
              </w:rPr>
            </w:pPr>
            <w:r w:rsidRPr="003E7E60">
              <w:rPr>
                <w:rFonts w:ascii="Verdana" w:hAnsi="Verdana" w:cs="Arial"/>
                <w:i/>
                <w:sz w:val="20"/>
                <w:szCs w:val="20"/>
              </w:rPr>
              <w:t>FY 2008-09 Performance measure:  313 code amendments promulgated; 84% of local governments have a building code program rated at or above a specified level of effectiveness by a recognized rating organization.</w:t>
            </w:r>
          </w:p>
        </w:tc>
      </w:tr>
      <w:tr w:rsidR="0089275A" w:rsidRPr="009A10F2" w:rsidTr="00925661">
        <w:trPr>
          <w:cantSplit/>
          <w:trHeight w:val="385"/>
        </w:trPr>
        <w:tc>
          <w:tcPr>
            <w:tcW w:w="314" w:type="pct"/>
          </w:tcPr>
          <w:p w:rsidR="0089275A" w:rsidRPr="009A10F2" w:rsidRDefault="0089275A" w:rsidP="0049276F">
            <w:pPr>
              <w:spacing w:beforeLines="60" w:afterLines="60"/>
              <w:rPr>
                <w:rFonts w:ascii="Verdana" w:hAnsi="Verdana" w:cs="Arial"/>
                <w:sz w:val="16"/>
                <w:szCs w:val="16"/>
              </w:rPr>
            </w:pPr>
          </w:p>
        </w:tc>
        <w:tc>
          <w:tcPr>
            <w:tcW w:w="369" w:type="pct"/>
          </w:tcPr>
          <w:p w:rsidR="0089275A" w:rsidRPr="003E7E60" w:rsidRDefault="0089275A" w:rsidP="0049276F">
            <w:pPr>
              <w:spacing w:beforeLines="60" w:afterLines="60"/>
              <w:rPr>
                <w:rFonts w:ascii="Verdana" w:hAnsi="Verdana" w:cs="Arial"/>
                <w:i/>
                <w:sz w:val="16"/>
                <w:szCs w:val="16"/>
              </w:rPr>
            </w:pPr>
            <w:r w:rsidRPr="003E7E60">
              <w:rPr>
                <w:rFonts w:ascii="Verdana" w:hAnsi="Verdana" w:cs="Arial"/>
                <w:i/>
                <w:sz w:val="16"/>
                <w:szCs w:val="16"/>
              </w:rPr>
              <w:t>Modify</w:t>
            </w:r>
          </w:p>
        </w:tc>
        <w:tc>
          <w:tcPr>
            <w:tcW w:w="4317" w:type="pct"/>
            <w:vMerge/>
            <w:tcBorders>
              <w:top w:val="nil"/>
              <w:bottom w:val="nil"/>
            </w:tcBorders>
          </w:tcPr>
          <w:p w:rsidR="008566FB" w:rsidRPr="003E7E60" w:rsidRDefault="008566FB" w:rsidP="0049276F">
            <w:pPr>
              <w:autoSpaceDE w:val="0"/>
              <w:autoSpaceDN w:val="0"/>
              <w:adjustRightInd w:val="0"/>
              <w:spacing w:beforeLines="60" w:afterLines="60"/>
              <w:rPr>
                <w:rFonts w:ascii="Verdana" w:hAnsi="Verdana" w:cs="Arial"/>
                <w:i/>
                <w:sz w:val="20"/>
                <w:szCs w:val="20"/>
              </w:rPr>
            </w:pPr>
          </w:p>
        </w:tc>
      </w:tr>
      <w:tr w:rsidR="0089275A" w:rsidRPr="009A10F2" w:rsidTr="00925661">
        <w:trPr>
          <w:cantSplit/>
          <w:trHeight w:val="385"/>
        </w:trPr>
        <w:tc>
          <w:tcPr>
            <w:tcW w:w="314" w:type="pct"/>
          </w:tcPr>
          <w:p w:rsidR="0089275A" w:rsidRPr="009A10F2" w:rsidRDefault="0089275A" w:rsidP="0049276F">
            <w:pPr>
              <w:spacing w:beforeLines="60" w:afterLines="60"/>
              <w:rPr>
                <w:rFonts w:ascii="Verdana" w:hAnsi="Verdana" w:cs="Arial"/>
                <w:sz w:val="16"/>
                <w:szCs w:val="16"/>
              </w:rPr>
            </w:pPr>
          </w:p>
        </w:tc>
        <w:tc>
          <w:tcPr>
            <w:tcW w:w="369" w:type="pct"/>
          </w:tcPr>
          <w:p w:rsidR="0089275A" w:rsidRPr="003E7E60" w:rsidRDefault="0089275A" w:rsidP="0049276F">
            <w:pPr>
              <w:spacing w:beforeLines="60" w:afterLines="60"/>
              <w:rPr>
                <w:rFonts w:ascii="Verdana" w:hAnsi="Verdana" w:cs="Arial"/>
                <w:i/>
                <w:sz w:val="16"/>
                <w:szCs w:val="16"/>
              </w:rPr>
            </w:pPr>
            <w:r w:rsidRPr="003E7E60">
              <w:rPr>
                <w:rFonts w:ascii="Verdana" w:hAnsi="Verdana" w:cs="Arial"/>
                <w:i/>
                <w:sz w:val="16"/>
                <w:szCs w:val="16"/>
              </w:rPr>
              <w:t>Abolish</w:t>
            </w:r>
          </w:p>
        </w:tc>
        <w:tc>
          <w:tcPr>
            <w:tcW w:w="4317" w:type="pct"/>
            <w:vMerge/>
            <w:tcBorders>
              <w:top w:val="nil"/>
              <w:bottom w:val="single" w:sz="4" w:space="0" w:color="auto"/>
            </w:tcBorders>
          </w:tcPr>
          <w:p w:rsidR="008566FB" w:rsidRPr="003E7E60" w:rsidRDefault="008566FB" w:rsidP="0049276F">
            <w:pPr>
              <w:autoSpaceDE w:val="0"/>
              <w:autoSpaceDN w:val="0"/>
              <w:adjustRightInd w:val="0"/>
              <w:spacing w:beforeLines="60" w:afterLines="60"/>
              <w:rPr>
                <w:rFonts w:ascii="Verdana" w:hAnsi="Verdana" w:cs="Arial"/>
                <w:i/>
                <w:sz w:val="20"/>
                <w:szCs w:val="20"/>
              </w:rPr>
            </w:pPr>
          </w:p>
        </w:tc>
      </w:tr>
      <w:tr w:rsidR="00AC3485" w:rsidRPr="009A10F2" w:rsidTr="0049276F">
        <w:trPr>
          <w:cantSplit/>
          <w:trHeight w:val="305"/>
        </w:trPr>
        <w:tc>
          <w:tcPr>
            <w:tcW w:w="314" w:type="pct"/>
          </w:tcPr>
          <w:p w:rsidR="00AC3485" w:rsidRPr="009A10F2" w:rsidRDefault="00AC3485" w:rsidP="0049276F">
            <w:pPr>
              <w:spacing w:beforeLines="60" w:afterLines="60"/>
              <w:jc w:val="center"/>
              <w:rPr>
                <w:rFonts w:ascii="Verdana" w:hAnsi="Verdana" w:cs="Arial"/>
                <w:sz w:val="16"/>
                <w:szCs w:val="16"/>
              </w:rPr>
            </w:pPr>
          </w:p>
        </w:tc>
        <w:tc>
          <w:tcPr>
            <w:tcW w:w="369" w:type="pct"/>
          </w:tcPr>
          <w:p w:rsidR="00AC3485" w:rsidRPr="003E7E60" w:rsidRDefault="00AC3485" w:rsidP="0049276F">
            <w:pPr>
              <w:spacing w:beforeLines="60" w:afterLines="60"/>
              <w:rPr>
                <w:rFonts w:ascii="Verdana" w:hAnsi="Verdana" w:cs="Arial"/>
                <w:i/>
                <w:sz w:val="16"/>
                <w:szCs w:val="16"/>
              </w:rPr>
            </w:pPr>
            <w:r w:rsidRPr="003E7E60">
              <w:rPr>
                <w:rFonts w:ascii="Verdana" w:hAnsi="Verdana" w:cs="Arial"/>
                <w:i/>
                <w:sz w:val="16"/>
                <w:szCs w:val="16"/>
              </w:rPr>
              <w:t>Continue</w:t>
            </w:r>
          </w:p>
        </w:tc>
        <w:tc>
          <w:tcPr>
            <w:tcW w:w="4317" w:type="pct"/>
            <w:vMerge w:val="restart"/>
            <w:tcBorders>
              <w:bottom w:val="single" w:sz="4" w:space="0" w:color="auto"/>
            </w:tcBorders>
          </w:tcPr>
          <w:p w:rsidR="00AC3485" w:rsidRPr="003E7E60" w:rsidRDefault="00AC3485" w:rsidP="0049276F">
            <w:pPr>
              <w:autoSpaceDE w:val="0"/>
              <w:autoSpaceDN w:val="0"/>
              <w:adjustRightInd w:val="0"/>
              <w:spacing w:beforeLines="60" w:afterLines="60"/>
              <w:ind w:left="360"/>
              <w:rPr>
                <w:rFonts w:ascii="Verdana" w:hAnsi="Verdana" w:cs="Arial"/>
                <w:b/>
                <w:i/>
                <w:sz w:val="20"/>
                <w:szCs w:val="20"/>
              </w:rPr>
            </w:pPr>
            <w:r w:rsidRPr="003E7E60">
              <w:rPr>
                <w:rFonts w:ascii="Verdana" w:hAnsi="Verdana" w:cs="Arial"/>
                <w:b/>
                <w:i/>
                <w:sz w:val="20"/>
                <w:szCs w:val="20"/>
              </w:rPr>
              <w:t xml:space="preserve">Florida Prototype Building Program </w:t>
            </w:r>
          </w:p>
          <w:p w:rsidR="00AC3485" w:rsidRPr="003E7E60" w:rsidRDefault="00AC3485" w:rsidP="0049276F">
            <w:pPr>
              <w:autoSpaceDE w:val="0"/>
              <w:autoSpaceDN w:val="0"/>
              <w:adjustRightInd w:val="0"/>
              <w:spacing w:beforeLines="60" w:afterLines="60"/>
              <w:ind w:left="360"/>
              <w:rPr>
                <w:rFonts w:ascii="Verdana" w:hAnsi="Verdana" w:cs="Arial"/>
                <w:i/>
                <w:sz w:val="20"/>
                <w:szCs w:val="20"/>
              </w:rPr>
            </w:pPr>
            <w:r w:rsidRPr="003E7E60">
              <w:rPr>
                <w:rFonts w:ascii="Verdana" w:hAnsi="Verdana" w:cs="Arial"/>
                <w:i/>
                <w:sz w:val="20"/>
                <w:szCs w:val="20"/>
              </w:rPr>
              <w:t>Provide for review and approval of plans for buildings subject to replication throughout the State.   DCA created this basic prototype several years ago.  The program has been dormant since October 18, 2007; therefore, DCA repealed the rule implementing the function.  The factory built schools element of the manufactured building program should not be confused with the prototype effort.  The latter was not restricted to education buildings.</w:t>
            </w:r>
          </w:p>
          <w:p w:rsidR="00AC3485" w:rsidRPr="003E7E60" w:rsidRDefault="00AC3485" w:rsidP="0049276F">
            <w:pPr>
              <w:autoSpaceDE w:val="0"/>
              <w:autoSpaceDN w:val="0"/>
              <w:adjustRightInd w:val="0"/>
              <w:spacing w:beforeLines="60" w:afterLines="60"/>
              <w:ind w:left="360"/>
              <w:rPr>
                <w:rFonts w:ascii="Verdana" w:hAnsi="Verdana" w:cs="Arial"/>
                <w:i/>
                <w:sz w:val="20"/>
                <w:szCs w:val="20"/>
              </w:rPr>
            </w:pPr>
            <w:r w:rsidRPr="003E7E60">
              <w:rPr>
                <w:rFonts w:ascii="Verdana" w:hAnsi="Verdana" w:cs="Arial"/>
                <w:i/>
                <w:sz w:val="20"/>
                <w:szCs w:val="20"/>
              </w:rPr>
              <w:t xml:space="preserve">Performance measure: Six plans were reviewed and approved. </w:t>
            </w:r>
          </w:p>
        </w:tc>
      </w:tr>
      <w:tr w:rsidR="00AC3485" w:rsidRPr="009A10F2" w:rsidTr="0049276F">
        <w:trPr>
          <w:cantSplit/>
          <w:trHeight w:val="305"/>
        </w:trPr>
        <w:tc>
          <w:tcPr>
            <w:tcW w:w="314" w:type="pct"/>
          </w:tcPr>
          <w:p w:rsidR="00AC3485" w:rsidRPr="009A10F2" w:rsidRDefault="00AC3485" w:rsidP="0049276F">
            <w:pPr>
              <w:spacing w:beforeLines="60" w:afterLines="60"/>
              <w:rPr>
                <w:rFonts w:ascii="Verdana" w:hAnsi="Verdana" w:cs="Arial"/>
                <w:sz w:val="16"/>
                <w:szCs w:val="16"/>
              </w:rPr>
            </w:pPr>
          </w:p>
        </w:tc>
        <w:tc>
          <w:tcPr>
            <w:tcW w:w="369" w:type="pct"/>
          </w:tcPr>
          <w:p w:rsidR="00AC3485" w:rsidRPr="003E7E60" w:rsidRDefault="00AC3485" w:rsidP="0049276F">
            <w:pPr>
              <w:spacing w:beforeLines="60" w:afterLines="60"/>
              <w:rPr>
                <w:rFonts w:ascii="Verdana" w:hAnsi="Verdana" w:cs="Arial"/>
                <w:i/>
                <w:sz w:val="16"/>
                <w:szCs w:val="16"/>
              </w:rPr>
            </w:pPr>
            <w:r w:rsidRPr="003E7E60">
              <w:rPr>
                <w:rFonts w:ascii="Verdana" w:hAnsi="Verdana" w:cs="Arial"/>
                <w:i/>
                <w:sz w:val="16"/>
                <w:szCs w:val="16"/>
              </w:rPr>
              <w:t>Modify</w:t>
            </w:r>
          </w:p>
        </w:tc>
        <w:tc>
          <w:tcPr>
            <w:tcW w:w="4317" w:type="pct"/>
            <w:vMerge/>
            <w:tcBorders>
              <w:top w:val="nil"/>
              <w:bottom w:val="single" w:sz="4" w:space="0" w:color="auto"/>
            </w:tcBorders>
          </w:tcPr>
          <w:p w:rsidR="00AC3485" w:rsidRPr="003E7E60" w:rsidRDefault="00AC3485" w:rsidP="0049276F">
            <w:pPr>
              <w:autoSpaceDE w:val="0"/>
              <w:autoSpaceDN w:val="0"/>
              <w:adjustRightInd w:val="0"/>
              <w:spacing w:beforeLines="60" w:afterLines="60"/>
              <w:rPr>
                <w:rFonts w:ascii="Verdana" w:hAnsi="Verdana" w:cs="Arial"/>
                <w:i/>
                <w:sz w:val="20"/>
                <w:szCs w:val="20"/>
              </w:rPr>
            </w:pPr>
          </w:p>
        </w:tc>
      </w:tr>
      <w:tr w:rsidR="00AC3485" w:rsidRPr="009A10F2" w:rsidTr="0049276F">
        <w:trPr>
          <w:cantSplit/>
          <w:trHeight w:val="305"/>
        </w:trPr>
        <w:tc>
          <w:tcPr>
            <w:tcW w:w="314" w:type="pct"/>
          </w:tcPr>
          <w:p w:rsidR="00AC3485" w:rsidRPr="009A10F2" w:rsidRDefault="00AC3485" w:rsidP="0049276F">
            <w:pPr>
              <w:spacing w:beforeLines="60" w:afterLines="60"/>
              <w:rPr>
                <w:rFonts w:ascii="Verdana" w:hAnsi="Verdana" w:cs="Arial"/>
                <w:sz w:val="16"/>
                <w:szCs w:val="16"/>
              </w:rPr>
            </w:pPr>
          </w:p>
        </w:tc>
        <w:tc>
          <w:tcPr>
            <w:tcW w:w="369" w:type="pct"/>
          </w:tcPr>
          <w:p w:rsidR="00AC3485" w:rsidRPr="003E7E60" w:rsidRDefault="00AC3485" w:rsidP="0049276F">
            <w:pPr>
              <w:spacing w:beforeLines="60" w:afterLines="60"/>
              <w:rPr>
                <w:rFonts w:ascii="Verdana" w:hAnsi="Verdana" w:cs="Arial"/>
                <w:i/>
                <w:sz w:val="16"/>
                <w:szCs w:val="16"/>
              </w:rPr>
            </w:pPr>
            <w:r w:rsidRPr="003E7E60">
              <w:rPr>
                <w:rFonts w:ascii="Verdana" w:hAnsi="Verdana" w:cs="Arial"/>
                <w:i/>
                <w:sz w:val="16"/>
                <w:szCs w:val="16"/>
              </w:rPr>
              <w:t>Abolish</w:t>
            </w:r>
          </w:p>
        </w:tc>
        <w:tc>
          <w:tcPr>
            <w:tcW w:w="4317" w:type="pct"/>
            <w:vMerge/>
            <w:tcBorders>
              <w:top w:val="nil"/>
              <w:bottom w:val="single" w:sz="4" w:space="0" w:color="auto"/>
            </w:tcBorders>
          </w:tcPr>
          <w:p w:rsidR="00AC3485" w:rsidRPr="003E7E60" w:rsidRDefault="00AC3485" w:rsidP="0049276F">
            <w:pPr>
              <w:autoSpaceDE w:val="0"/>
              <w:autoSpaceDN w:val="0"/>
              <w:adjustRightInd w:val="0"/>
              <w:spacing w:beforeLines="60" w:afterLines="60"/>
              <w:rPr>
                <w:rFonts w:ascii="Verdana" w:hAnsi="Verdana" w:cs="Arial"/>
                <w:i/>
                <w:sz w:val="20"/>
                <w:szCs w:val="20"/>
              </w:rPr>
            </w:pPr>
          </w:p>
        </w:tc>
      </w:tr>
      <w:tr w:rsidR="0089275A" w:rsidRPr="009A10F2" w:rsidTr="00925661">
        <w:trPr>
          <w:cantSplit/>
          <w:trHeight w:val="305"/>
        </w:trPr>
        <w:tc>
          <w:tcPr>
            <w:tcW w:w="314" w:type="pct"/>
          </w:tcPr>
          <w:p w:rsidR="0089275A" w:rsidRPr="009A10F2" w:rsidRDefault="0089275A" w:rsidP="0049276F">
            <w:pPr>
              <w:spacing w:beforeLines="60" w:afterLines="60"/>
              <w:jc w:val="center"/>
              <w:rPr>
                <w:rFonts w:ascii="Verdana" w:hAnsi="Verdana" w:cs="Arial"/>
                <w:sz w:val="16"/>
                <w:szCs w:val="16"/>
              </w:rPr>
            </w:pPr>
          </w:p>
        </w:tc>
        <w:tc>
          <w:tcPr>
            <w:tcW w:w="369" w:type="pct"/>
          </w:tcPr>
          <w:p w:rsidR="0089275A" w:rsidRPr="003E7E60" w:rsidRDefault="0089275A" w:rsidP="0049276F">
            <w:pPr>
              <w:spacing w:beforeLines="60" w:afterLines="60"/>
              <w:rPr>
                <w:rFonts w:ascii="Verdana" w:hAnsi="Verdana" w:cs="Arial"/>
                <w:i/>
                <w:sz w:val="16"/>
                <w:szCs w:val="16"/>
              </w:rPr>
            </w:pPr>
            <w:r w:rsidRPr="003E7E60">
              <w:rPr>
                <w:rFonts w:ascii="Verdana" w:hAnsi="Verdana" w:cs="Arial"/>
                <w:i/>
                <w:sz w:val="16"/>
                <w:szCs w:val="16"/>
              </w:rPr>
              <w:t>Continue</w:t>
            </w:r>
          </w:p>
        </w:tc>
        <w:tc>
          <w:tcPr>
            <w:tcW w:w="4317" w:type="pct"/>
            <w:vMerge w:val="restart"/>
            <w:tcBorders>
              <w:bottom w:val="single" w:sz="4" w:space="0" w:color="auto"/>
            </w:tcBorders>
          </w:tcPr>
          <w:p w:rsidR="00E26465" w:rsidRPr="003E7E60" w:rsidRDefault="00AC3485" w:rsidP="0049276F">
            <w:pPr>
              <w:autoSpaceDE w:val="0"/>
              <w:autoSpaceDN w:val="0"/>
              <w:adjustRightInd w:val="0"/>
              <w:spacing w:beforeLines="60" w:afterLines="60"/>
              <w:ind w:left="360"/>
              <w:rPr>
                <w:rFonts w:ascii="Verdana" w:hAnsi="Verdana" w:cs="Arial"/>
                <w:b/>
                <w:i/>
                <w:sz w:val="20"/>
                <w:szCs w:val="20"/>
              </w:rPr>
            </w:pPr>
            <w:r w:rsidRPr="003E7E60">
              <w:rPr>
                <w:rFonts w:ascii="Verdana" w:hAnsi="Verdana" w:cs="Arial"/>
                <w:b/>
                <w:i/>
                <w:sz w:val="20"/>
                <w:szCs w:val="20"/>
              </w:rPr>
              <w:t>State Product Approval</w:t>
            </w:r>
          </w:p>
          <w:p w:rsidR="00AC3485" w:rsidRPr="003E7E60" w:rsidRDefault="00AC3485" w:rsidP="0049276F">
            <w:pPr>
              <w:autoSpaceDE w:val="0"/>
              <w:autoSpaceDN w:val="0"/>
              <w:adjustRightInd w:val="0"/>
              <w:spacing w:beforeLines="60" w:afterLines="60"/>
              <w:ind w:left="360"/>
              <w:rPr>
                <w:rFonts w:ascii="Verdana" w:hAnsi="Verdana" w:cs="Arial"/>
                <w:i/>
                <w:sz w:val="20"/>
                <w:szCs w:val="20"/>
              </w:rPr>
            </w:pPr>
            <w:r w:rsidRPr="003E7E60">
              <w:rPr>
                <w:rFonts w:ascii="Verdana" w:hAnsi="Verdana" w:cs="Arial"/>
                <w:i/>
                <w:sz w:val="20"/>
                <w:szCs w:val="20"/>
              </w:rPr>
              <w:t xml:space="preserve">Operate and maintain a system for state approval of construction products related to a building’s resistance to wind.  </w:t>
            </w:r>
          </w:p>
          <w:p w:rsidR="0089275A" w:rsidRPr="003E7E60" w:rsidRDefault="00AC3485" w:rsidP="0049276F">
            <w:pPr>
              <w:autoSpaceDE w:val="0"/>
              <w:autoSpaceDN w:val="0"/>
              <w:adjustRightInd w:val="0"/>
              <w:spacing w:beforeLines="60" w:afterLines="60"/>
              <w:ind w:left="360"/>
              <w:rPr>
                <w:rFonts w:ascii="Verdana" w:hAnsi="Verdana" w:cs="Arial"/>
                <w:i/>
                <w:sz w:val="20"/>
                <w:szCs w:val="20"/>
              </w:rPr>
            </w:pPr>
            <w:r w:rsidRPr="003E7E60">
              <w:rPr>
                <w:rFonts w:ascii="Verdana" w:hAnsi="Verdana" w:cs="Arial"/>
                <w:i/>
                <w:sz w:val="20"/>
                <w:szCs w:val="20"/>
              </w:rPr>
              <w:t>Performance measures:  For FY 08-09, 14039 total products submitted; 13,883 total products approved.</w:t>
            </w:r>
          </w:p>
        </w:tc>
      </w:tr>
      <w:tr w:rsidR="0089275A" w:rsidRPr="009A10F2" w:rsidTr="00925661">
        <w:trPr>
          <w:cantSplit/>
          <w:trHeight w:val="305"/>
        </w:trPr>
        <w:tc>
          <w:tcPr>
            <w:tcW w:w="314" w:type="pct"/>
          </w:tcPr>
          <w:p w:rsidR="0089275A" w:rsidRPr="009A10F2" w:rsidRDefault="0089275A" w:rsidP="0049276F">
            <w:pPr>
              <w:spacing w:beforeLines="60" w:afterLines="60"/>
              <w:rPr>
                <w:rFonts w:ascii="Verdana" w:hAnsi="Verdana" w:cs="Arial"/>
                <w:sz w:val="16"/>
                <w:szCs w:val="16"/>
              </w:rPr>
            </w:pPr>
          </w:p>
        </w:tc>
        <w:tc>
          <w:tcPr>
            <w:tcW w:w="369" w:type="pct"/>
          </w:tcPr>
          <w:p w:rsidR="0089275A" w:rsidRPr="003E7E60" w:rsidRDefault="0089275A" w:rsidP="0049276F">
            <w:pPr>
              <w:spacing w:beforeLines="60" w:afterLines="60"/>
              <w:rPr>
                <w:rFonts w:ascii="Verdana" w:hAnsi="Verdana" w:cs="Arial"/>
                <w:i/>
                <w:sz w:val="16"/>
                <w:szCs w:val="16"/>
              </w:rPr>
            </w:pPr>
            <w:r w:rsidRPr="003E7E60">
              <w:rPr>
                <w:rFonts w:ascii="Verdana" w:hAnsi="Verdana" w:cs="Arial"/>
                <w:i/>
                <w:sz w:val="16"/>
                <w:szCs w:val="16"/>
              </w:rPr>
              <w:t>Modify</w:t>
            </w:r>
          </w:p>
        </w:tc>
        <w:tc>
          <w:tcPr>
            <w:tcW w:w="4317" w:type="pct"/>
            <w:vMerge/>
            <w:tcBorders>
              <w:top w:val="nil"/>
              <w:bottom w:val="single" w:sz="4" w:space="0" w:color="auto"/>
            </w:tcBorders>
          </w:tcPr>
          <w:p w:rsidR="008566FB" w:rsidRPr="003E7E60" w:rsidRDefault="008566FB" w:rsidP="0049276F">
            <w:pPr>
              <w:autoSpaceDE w:val="0"/>
              <w:autoSpaceDN w:val="0"/>
              <w:adjustRightInd w:val="0"/>
              <w:spacing w:beforeLines="60" w:afterLines="60"/>
              <w:rPr>
                <w:rFonts w:ascii="Verdana" w:hAnsi="Verdana" w:cs="Arial"/>
                <w:i/>
                <w:sz w:val="20"/>
                <w:szCs w:val="20"/>
              </w:rPr>
            </w:pPr>
          </w:p>
        </w:tc>
      </w:tr>
      <w:tr w:rsidR="0089275A" w:rsidRPr="009A10F2" w:rsidTr="00925661">
        <w:trPr>
          <w:cantSplit/>
          <w:trHeight w:val="305"/>
        </w:trPr>
        <w:tc>
          <w:tcPr>
            <w:tcW w:w="314" w:type="pct"/>
          </w:tcPr>
          <w:p w:rsidR="0089275A" w:rsidRPr="009A10F2" w:rsidRDefault="0089275A" w:rsidP="0049276F">
            <w:pPr>
              <w:spacing w:beforeLines="60" w:afterLines="60"/>
              <w:rPr>
                <w:rFonts w:ascii="Verdana" w:hAnsi="Verdana" w:cs="Arial"/>
                <w:sz w:val="16"/>
                <w:szCs w:val="16"/>
              </w:rPr>
            </w:pPr>
          </w:p>
        </w:tc>
        <w:tc>
          <w:tcPr>
            <w:tcW w:w="369" w:type="pct"/>
          </w:tcPr>
          <w:p w:rsidR="0089275A" w:rsidRPr="003E7E60" w:rsidRDefault="0089275A" w:rsidP="0049276F">
            <w:pPr>
              <w:spacing w:beforeLines="60" w:afterLines="60"/>
              <w:rPr>
                <w:rFonts w:ascii="Verdana" w:hAnsi="Verdana" w:cs="Arial"/>
                <w:i/>
                <w:sz w:val="16"/>
                <w:szCs w:val="16"/>
              </w:rPr>
            </w:pPr>
            <w:r w:rsidRPr="003E7E60">
              <w:rPr>
                <w:rFonts w:ascii="Verdana" w:hAnsi="Verdana" w:cs="Arial"/>
                <w:i/>
                <w:sz w:val="16"/>
                <w:szCs w:val="16"/>
              </w:rPr>
              <w:t>Abolish</w:t>
            </w:r>
          </w:p>
        </w:tc>
        <w:tc>
          <w:tcPr>
            <w:tcW w:w="4317" w:type="pct"/>
            <w:vMerge/>
            <w:tcBorders>
              <w:top w:val="nil"/>
              <w:bottom w:val="single" w:sz="4" w:space="0" w:color="auto"/>
            </w:tcBorders>
          </w:tcPr>
          <w:p w:rsidR="008566FB" w:rsidRPr="003E7E60" w:rsidRDefault="008566FB" w:rsidP="0049276F">
            <w:pPr>
              <w:autoSpaceDE w:val="0"/>
              <w:autoSpaceDN w:val="0"/>
              <w:adjustRightInd w:val="0"/>
              <w:spacing w:beforeLines="60" w:afterLines="60"/>
              <w:rPr>
                <w:rFonts w:ascii="Verdana" w:hAnsi="Verdana" w:cs="Arial"/>
                <w:i/>
                <w:sz w:val="20"/>
                <w:szCs w:val="20"/>
              </w:rPr>
            </w:pPr>
          </w:p>
        </w:tc>
      </w:tr>
      <w:tr w:rsidR="00885183" w:rsidRPr="009A10F2" w:rsidTr="003E7E60">
        <w:trPr>
          <w:cantSplit/>
          <w:trHeight w:val="385"/>
        </w:trPr>
        <w:tc>
          <w:tcPr>
            <w:tcW w:w="314" w:type="pct"/>
          </w:tcPr>
          <w:p w:rsidR="00885183" w:rsidRPr="009A10F2" w:rsidRDefault="00E9714D" w:rsidP="0049276F">
            <w:pPr>
              <w:spacing w:beforeLines="60" w:afterLines="60"/>
              <w:rPr>
                <w:rFonts w:ascii="Verdana" w:hAnsi="Verdana" w:cs="Arial"/>
                <w:sz w:val="16"/>
                <w:szCs w:val="16"/>
              </w:rPr>
            </w:pPr>
            <w:r>
              <w:br w:type="page"/>
            </w:r>
          </w:p>
        </w:tc>
        <w:tc>
          <w:tcPr>
            <w:tcW w:w="369" w:type="pct"/>
          </w:tcPr>
          <w:p w:rsidR="00885183" w:rsidRPr="003E7E60" w:rsidRDefault="00885183" w:rsidP="0049276F">
            <w:pPr>
              <w:spacing w:beforeLines="60" w:afterLines="60"/>
              <w:rPr>
                <w:rFonts w:ascii="Verdana" w:hAnsi="Verdana" w:cs="Arial"/>
                <w:i/>
                <w:sz w:val="16"/>
                <w:szCs w:val="16"/>
              </w:rPr>
            </w:pPr>
            <w:r w:rsidRPr="003E7E60">
              <w:rPr>
                <w:rFonts w:ascii="Verdana" w:hAnsi="Verdana" w:cs="Arial"/>
                <w:i/>
                <w:sz w:val="16"/>
                <w:szCs w:val="16"/>
              </w:rPr>
              <w:t>Continue</w:t>
            </w:r>
          </w:p>
        </w:tc>
        <w:tc>
          <w:tcPr>
            <w:tcW w:w="4317" w:type="pct"/>
            <w:vMerge w:val="restart"/>
          </w:tcPr>
          <w:p w:rsidR="00885183" w:rsidRDefault="00885183" w:rsidP="0049276F">
            <w:pPr>
              <w:autoSpaceDE w:val="0"/>
              <w:autoSpaceDN w:val="0"/>
              <w:adjustRightInd w:val="0"/>
              <w:spacing w:beforeLines="60" w:afterLines="60"/>
              <w:ind w:left="360"/>
              <w:rPr>
                <w:rFonts w:ascii="Verdana" w:hAnsi="Verdana" w:cs="Arial"/>
                <w:b/>
                <w:sz w:val="20"/>
                <w:szCs w:val="20"/>
              </w:rPr>
            </w:pPr>
            <w:r w:rsidRPr="009A10F2">
              <w:rPr>
                <w:rFonts w:ascii="Verdana" w:hAnsi="Verdana" w:cs="Arial"/>
                <w:b/>
                <w:sz w:val="20"/>
                <w:szCs w:val="20"/>
              </w:rPr>
              <w:t xml:space="preserve">Manufactured Building Program </w:t>
            </w:r>
          </w:p>
          <w:p w:rsidR="00885183" w:rsidRDefault="00885183" w:rsidP="0049276F">
            <w:pPr>
              <w:autoSpaceDE w:val="0"/>
              <w:autoSpaceDN w:val="0"/>
              <w:adjustRightInd w:val="0"/>
              <w:spacing w:beforeLines="60" w:afterLines="60"/>
              <w:ind w:left="360"/>
              <w:rPr>
                <w:rFonts w:ascii="Verdana" w:hAnsi="Verdana" w:cs="Arial"/>
                <w:sz w:val="20"/>
                <w:szCs w:val="20"/>
              </w:rPr>
            </w:pPr>
            <w:r w:rsidRPr="009A10F2">
              <w:rPr>
                <w:rFonts w:ascii="Verdana" w:hAnsi="Verdana" w:cs="Arial"/>
                <w:sz w:val="20"/>
                <w:szCs w:val="20"/>
              </w:rPr>
              <w:t xml:space="preserve">Oversee construction plans, specifications, and quality control procedures for manufactured building units to ensure compliance with the Florida Building Code. </w:t>
            </w:r>
          </w:p>
          <w:p w:rsidR="00885183" w:rsidRDefault="00885183" w:rsidP="0049276F">
            <w:pPr>
              <w:autoSpaceDE w:val="0"/>
              <w:autoSpaceDN w:val="0"/>
              <w:adjustRightInd w:val="0"/>
              <w:spacing w:beforeLines="60" w:afterLines="60"/>
              <w:ind w:left="360"/>
              <w:rPr>
                <w:rFonts w:ascii="Verdana" w:hAnsi="Verdana" w:cs="Arial"/>
                <w:sz w:val="20"/>
                <w:szCs w:val="20"/>
              </w:rPr>
            </w:pPr>
            <w:r w:rsidRPr="00E9714D">
              <w:rPr>
                <w:rFonts w:ascii="Verdana" w:hAnsi="Verdana" w:cs="Arial"/>
                <w:i/>
                <w:sz w:val="20"/>
                <w:szCs w:val="20"/>
              </w:rPr>
              <w:t>FY 2008-09 Performance measure:</w:t>
            </w:r>
            <w:r>
              <w:rPr>
                <w:rFonts w:ascii="Verdana" w:hAnsi="Verdana" w:cs="Arial"/>
                <w:sz w:val="20"/>
                <w:szCs w:val="20"/>
              </w:rPr>
              <w:t xml:space="preserve">  20,272 permits issued for manufactured buildings.</w:t>
            </w:r>
          </w:p>
          <w:p w:rsidR="00885183" w:rsidRPr="009A10F2" w:rsidRDefault="00885183" w:rsidP="0049276F">
            <w:pPr>
              <w:autoSpaceDE w:val="0"/>
              <w:autoSpaceDN w:val="0"/>
              <w:adjustRightInd w:val="0"/>
              <w:spacing w:beforeLines="60" w:afterLines="60"/>
              <w:ind w:left="360"/>
              <w:rPr>
                <w:rFonts w:ascii="Verdana" w:hAnsi="Verdana" w:cs="Arial"/>
                <w:sz w:val="20"/>
                <w:szCs w:val="20"/>
              </w:rPr>
            </w:pPr>
            <w:r>
              <w:rPr>
                <w:rFonts w:ascii="Verdana" w:hAnsi="Verdana" w:cs="Arial"/>
                <w:sz w:val="20"/>
                <w:szCs w:val="20"/>
              </w:rPr>
              <w:t xml:space="preserve">*** </w:t>
            </w:r>
            <w:r w:rsidRPr="009A10F2">
              <w:rPr>
                <w:rFonts w:ascii="Verdana" w:hAnsi="Verdana" w:cs="Arial"/>
                <w:sz w:val="20"/>
                <w:szCs w:val="20"/>
              </w:rPr>
              <w:t>DBPR</w:t>
            </w:r>
            <w:r>
              <w:rPr>
                <w:rFonts w:ascii="Verdana" w:hAnsi="Verdana" w:cs="Arial"/>
                <w:sz w:val="20"/>
                <w:szCs w:val="20"/>
              </w:rPr>
              <w:t xml:space="preserve"> </w:t>
            </w:r>
            <w:r w:rsidRPr="009A10F2">
              <w:rPr>
                <w:rFonts w:ascii="Verdana" w:hAnsi="Verdana" w:cs="Arial"/>
                <w:sz w:val="20"/>
                <w:szCs w:val="20"/>
              </w:rPr>
              <w:t>–</w:t>
            </w:r>
            <w:r>
              <w:rPr>
                <w:rFonts w:ascii="Verdana" w:hAnsi="Verdana" w:cs="Arial"/>
                <w:sz w:val="20"/>
                <w:szCs w:val="20"/>
              </w:rPr>
              <w:t>regulates site built homes through licensing builders and code enforcement officials.  DHSMV regulates the construction of mobile homes (HUD standard).</w:t>
            </w:r>
          </w:p>
        </w:tc>
      </w:tr>
      <w:tr w:rsidR="00885183" w:rsidRPr="009A10F2" w:rsidTr="003E7E60">
        <w:trPr>
          <w:cantSplit/>
          <w:trHeight w:val="539"/>
        </w:trPr>
        <w:tc>
          <w:tcPr>
            <w:tcW w:w="314" w:type="pct"/>
          </w:tcPr>
          <w:p w:rsidR="00885183" w:rsidRPr="009A10F2" w:rsidRDefault="00885183" w:rsidP="0049276F">
            <w:pPr>
              <w:spacing w:beforeLines="60" w:afterLines="60"/>
              <w:jc w:val="center"/>
              <w:rPr>
                <w:rFonts w:ascii="Verdana" w:hAnsi="Verdana" w:cs="Arial"/>
                <w:sz w:val="16"/>
                <w:szCs w:val="16"/>
              </w:rPr>
            </w:pPr>
          </w:p>
        </w:tc>
        <w:tc>
          <w:tcPr>
            <w:tcW w:w="369" w:type="pct"/>
          </w:tcPr>
          <w:p w:rsidR="00885183" w:rsidRPr="003E7E60" w:rsidRDefault="00885183" w:rsidP="0049276F">
            <w:pPr>
              <w:spacing w:beforeLines="60" w:afterLines="60"/>
              <w:rPr>
                <w:rFonts w:ascii="Verdana" w:hAnsi="Verdana" w:cs="Arial"/>
                <w:i/>
                <w:sz w:val="16"/>
                <w:szCs w:val="16"/>
              </w:rPr>
            </w:pPr>
            <w:r w:rsidRPr="003E7E60">
              <w:rPr>
                <w:rFonts w:ascii="Verdana" w:hAnsi="Verdana" w:cs="Arial"/>
                <w:i/>
                <w:sz w:val="16"/>
                <w:szCs w:val="16"/>
              </w:rPr>
              <w:t>Modify</w:t>
            </w:r>
          </w:p>
        </w:tc>
        <w:tc>
          <w:tcPr>
            <w:tcW w:w="4317" w:type="pct"/>
            <w:vMerge/>
          </w:tcPr>
          <w:p w:rsidR="008566FB" w:rsidRDefault="008566FB" w:rsidP="0049276F">
            <w:pPr>
              <w:autoSpaceDE w:val="0"/>
              <w:autoSpaceDN w:val="0"/>
              <w:adjustRightInd w:val="0"/>
              <w:spacing w:beforeLines="60" w:afterLines="60"/>
              <w:rPr>
                <w:rFonts w:ascii="Verdana" w:hAnsi="Verdana" w:cs="Arial"/>
                <w:sz w:val="20"/>
                <w:szCs w:val="20"/>
              </w:rPr>
            </w:pPr>
          </w:p>
        </w:tc>
      </w:tr>
      <w:tr w:rsidR="00885183" w:rsidRPr="009A10F2" w:rsidTr="003E7E60">
        <w:trPr>
          <w:cantSplit/>
          <w:trHeight w:val="662"/>
        </w:trPr>
        <w:tc>
          <w:tcPr>
            <w:tcW w:w="314" w:type="pct"/>
          </w:tcPr>
          <w:p w:rsidR="00885183" w:rsidRPr="009A10F2" w:rsidRDefault="00885183" w:rsidP="0049276F">
            <w:pPr>
              <w:spacing w:beforeLines="60" w:afterLines="60"/>
              <w:rPr>
                <w:rFonts w:ascii="Verdana" w:hAnsi="Verdana" w:cs="Arial"/>
                <w:sz w:val="16"/>
                <w:szCs w:val="16"/>
              </w:rPr>
            </w:pPr>
          </w:p>
        </w:tc>
        <w:tc>
          <w:tcPr>
            <w:tcW w:w="369" w:type="pct"/>
          </w:tcPr>
          <w:p w:rsidR="00885183" w:rsidRPr="003E7E60" w:rsidRDefault="00885183" w:rsidP="0049276F">
            <w:pPr>
              <w:spacing w:beforeLines="60" w:afterLines="60"/>
              <w:rPr>
                <w:rFonts w:ascii="Verdana" w:hAnsi="Verdana" w:cs="Arial"/>
                <w:i/>
                <w:sz w:val="16"/>
                <w:szCs w:val="16"/>
              </w:rPr>
            </w:pPr>
            <w:r w:rsidRPr="003E7E60">
              <w:rPr>
                <w:rFonts w:ascii="Verdana" w:hAnsi="Verdana" w:cs="Arial"/>
                <w:i/>
                <w:sz w:val="16"/>
                <w:szCs w:val="16"/>
              </w:rPr>
              <w:t>Abolish</w:t>
            </w:r>
          </w:p>
        </w:tc>
        <w:tc>
          <w:tcPr>
            <w:tcW w:w="4317" w:type="pct"/>
            <w:vMerge/>
          </w:tcPr>
          <w:p w:rsidR="008566FB" w:rsidRDefault="008566FB" w:rsidP="0049276F">
            <w:pPr>
              <w:autoSpaceDE w:val="0"/>
              <w:autoSpaceDN w:val="0"/>
              <w:adjustRightInd w:val="0"/>
              <w:spacing w:beforeLines="60" w:afterLines="60"/>
              <w:rPr>
                <w:rFonts w:ascii="Verdana" w:hAnsi="Verdana" w:cs="Arial"/>
                <w:sz w:val="20"/>
                <w:szCs w:val="20"/>
              </w:rPr>
            </w:pPr>
          </w:p>
        </w:tc>
      </w:tr>
      <w:tr w:rsidR="00885183" w:rsidRPr="009A10F2" w:rsidTr="003E7E60">
        <w:trPr>
          <w:cantSplit/>
          <w:trHeight w:val="662"/>
        </w:trPr>
        <w:tc>
          <w:tcPr>
            <w:tcW w:w="683" w:type="pct"/>
            <w:gridSpan w:val="2"/>
          </w:tcPr>
          <w:p w:rsidR="00885183" w:rsidRPr="003E7E60" w:rsidRDefault="00885183" w:rsidP="0049276F">
            <w:pPr>
              <w:spacing w:beforeLines="60" w:afterLines="60"/>
              <w:rPr>
                <w:rFonts w:ascii="Verdana" w:hAnsi="Verdana" w:cs="Arial"/>
                <w:i/>
                <w:sz w:val="16"/>
                <w:szCs w:val="16"/>
              </w:rPr>
            </w:pPr>
          </w:p>
        </w:tc>
        <w:tc>
          <w:tcPr>
            <w:tcW w:w="4317" w:type="pct"/>
            <w:vMerge/>
            <w:tcBorders>
              <w:bottom w:val="single" w:sz="4" w:space="0" w:color="auto"/>
            </w:tcBorders>
          </w:tcPr>
          <w:p w:rsidR="008566FB" w:rsidRDefault="008566FB" w:rsidP="0049276F">
            <w:pPr>
              <w:autoSpaceDE w:val="0"/>
              <w:autoSpaceDN w:val="0"/>
              <w:adjustRightInd w:val="0"/>
              <w:spacing w:beforeLines="60" w:afterLines="60"/>
              <w:rPr>
                <w:rFonts w:ascii="Verdana" w:hAnsi="Verdana" w:cs="Arial"/>
                <w:sz w:val="20"/>
                <w:szCs w:val="20"/>
              </w:rPr>
            </w:pPr>
          </w:p>
        </w:tc>
      </w:tr>
      <w:tr w:rsidR="0089275A" w:rsidRPr="009A10F2" w:rsidTr="003E7E60">
        <w:trPr>
          <w:cantSplit/>
          <w:trHeight w:val="470"/>
        </w:trPr>
        <w:tc>
          <w:tcPr>
            <w:tcW w:w="314" w:type="pct"/>
          </w:tcPr>
          <w:p w:rsidR="0089275A" w:rsidRPr="009A10F2" w:rsidRDefault="0089275A" w:rsidP="0049276F">
            <w:pPr>
              <w:spacing w:beforeLines="60" w:afterLines="60"/>
              <w:jc w:val="center"/>
              <w:rPr>
                <w:rFonts w:ascii="Verdana" w:hAnsi="Verdana" w:cs="Arial"/>
                <w:sz w:val="16"/>
                <w:szCs w:val="16"/>
              </w:rPr>
            </w:pPr>
          </w:p>
        </w:tc>
        <w:tc>
          <w:tcPr>
            <w:tcW w:w="369" w:type="pct"/>
          </w:tcPr>
          <w:p w:rsidR="0089275A" w:rsidRPr="003E7E60" w:rsidRDefault="0089275A" w:rsidP="0049276F">
            <w:pPr>
              <w:spacing w:beforeLines="60" w:afterLines="60"/>
              <w:rPr>
                <w:rFonts w:ascii="Verdana" w:hAnsi="Verdana" w:cs="Arial"/>
                <w:i/>
                <w:sz w:val="16"/>
                <w:szCs w:val="16"/>
              </w:rPr>
            </w:pPr>
            <w:r w:rsidRPr="003E7E60">
              <w:rPr>
                <w:rFonts w:ascii="Verdana" w:hAnsi="Verdana" w:cs="Arial"/>
                <w:i/>
                <w:sz w:val="16"/>
                <w:szCs w:val="16"/>
              </w:rPr>
              <w:t>Continue</w:t>
            </w:r>
          </w:p>
        </w:tc>
        <w:tc>
          <w:tcPr>
            <w:tcW w:w="4317" w:type="pct"/>
            <w:vMerge w:val="restart"/>
            <w:tcBorders>
              <w:bottom w:val="single" w:sz="4" w:space="0" w:color="auto"/>
            </w:tcBorders>
          </w:tcPr>
          <w:p w:rsidR="00E26465" w:rsidRDefault="0089275A" w:rsidP="0049276F">
            <w:pPr>
              <w:autoSpaceDE w:val="0"/>
              <w:autoSpaceDN w:val="0"/>
              <w:adjustRightInd w:val="0"/>
              <w:spacing w:beforeLines="60" w:afterLines="60"/>
              <w:ind w:left="360"/>
              <w:rPr>
                <w:rFonts w:ascii="Verdana" w:hAnsi="Verdana" w:cs="Arial"/>
                <w:b/>
                <w:sz w:val="20"/>
                <w:szCs w:val="20"/>
              </w:rPr>
            </w:pPr>
            <w:r w:rsidRPr="009A10F2">
              <w:rPr>
                <w:rFonts w:ascii="Verdana" w:hAnsi="Verdana" w:cs="Arial"/>
                <w:b/>
                <w:sz w:val="20"/>
                <w:szCs w:val="20"/>
              </w:rPr>
              <w:t xml:space="preserve">Special District Information Program </w:t>
            </w:r>
          </w:p>
          <w:p w:rsidR="00103763" w:rsidRPr="009A10F2" w:rsidRDefault="0089275A" w:rsidP="0049276F">
            <w:pPr>
              <w:autoSpaceDE w:val="0"/>
              <w:autoSpaceDN w:val="0"/>
              <w:adjustRightInd w:val="0"/>
              <w:spacing w:beforeLines="60" w:afterLines="60"/>
              <w:ind w:left="360"/>
              <w:rPr>
                <w:rFonts w:ascii="Verdana" w:hAnsi="Verdana" w:cs="Arial"/>
                <w:bCs/>
                <w:sz w:val="20"/>
                <w:szCs w:val="20"/>
              </w:rPr>
            </w:pPr>
            <w:r w:rsidRPr="009A10F2">
              <w:rPr>
                <w:rFonts w:ascii="Verdana" w:hAnsi="Verdana" w:cs="Arial"/>
                <w:sz w:val="20"/>
                <w:szCs w:val="20"/>
              </w:rPr>
              <w:t>Serv</w:t>
            </w:r>
            <w:r w:rsidR="00E30E0E">
              <w:rPr>
                <w:rFonts w:ascii="Verdana" w:hAnsi="Verdana" w:cs="Arial"/>
                <w:sz w:val="20"/>
                <w:szCs w:val="20"/>
              </w:rPr>
              <w:t xml:space="preserve">es </w:t>
            </w:r>
            <w:r w:rsidRPr="009A10F2">
              <w:rPr>
                <w:rFonts w:ascii="Verdana" w:hAnsi="Verdana" w:cs="Arial"/>
                <w:sz w:val="20"/>
                <w:szCs w:val="20"/>
              </w:rPr>
              <w:t xml:space="preserve">as </w:t>
            </w:r>
            <w:r w:rsidR="00E30E0E">
              <w:rPr>
                <w:rFonts w:ascii="Verdana" w:hAnsi="Verdana" w:cs="Arial"/>
                <w:sz w:val="20"/>
                <w:szCs w:val="20"/>
              </w:rPr>
              <w:t xml:space="preserve">the </w:t>
            </w:r>
            <w:r w:rsidRPr="009A10F2">
              <w:rPr>
                <w:rFonts w:ascii="Verdana" w:hAnsi="Verdana" w:cs="Arial"/>
                <w:sz w:val="20"/>
                <w:szCs w:val="20"/>
              </w:rPr>
              <w:t>state</w:t>
            </w:r>
            <w:r w:rsidR="00E30E0E">
              <w:rPr>
                <w:rFonts w:ascii="Verdana" w:hAnsi="Verdana" w:cs="Arial"/>
                <w:sz w:val="20"/>
                <w:szCs w:val="20"/>
              </w:rPr>
              <w:t xml:space="preserve">’s </w:t>
            </w:r>
            <w:r w:rsidRPr="009A10F2">
              <w:rPr>
                <w:rFonts w:ascii="Verdana" w:hAnsi="Verdana" w:cs="Arial"/>
                <w:sz w:val="20"/>
                <w:szCs w:val="20"/>
              </w:rPr>
              <w:t>special district clearinghouse, improving governmental efficiency by collecting, disseminating, and sharing information about special districts, and promoting special district accountability through technical assistance.</w:t>
            </w:r>
            <w:r w:rsidR="00E30E0E">
              <w:rPr>
                <w:rFonts w:ascii="Verdana" w:hAnsi="Verdana" w:cs="Arial"/>
                <w:sz w:val="20"/>
                <w:szCs w:val="20"/>
              </w:rPr>
              <w:t xml:space="preserve"> There are currently </w:t>
            </w:r>
            <w:r w:rsidR="005E71F5">
              <w:rPr>
                <w:rFonts w:ascii="Verdana" w:hAnsi="Verdana" w:cs="Arial"/>
                <w:sz w:val="20"/>
                <w:szCs w:val="20"/>
              </w:rPr>
              <w:t xml:space="preserve">1629 </w:t>
            </w:r>
            <w:r w:rsidR="00E30E0E">
              <w:rPr>
                <w:rFonts w:ascii="Verdana" w:hAnsi="Verdana" w:cs="Arial"/>
                <w:sz w:val="20"/>
                <w:szCs w:val="20"/>
              </w:rPr>
              <w:t>special districts.</w:t>
            </w:r>
          </w:p>
        </w:tc>
      </w:tr>
      <w:tr w:rsidR="0089275A" w:rsidRPr="009A10F2" w:rsidTr="003E7E60">
        <w:trPr>
          <w:cantSplit/>
          <w:trHeight w:val="470"/>
        </w:trPr>
        <w:tc>
          <w:tcPr>
            <w:tcW w:w="314" w:type="pct"/>
          </w:tcPr>
          <w:p w:rsidR="0089275A" w:rsidRPr="009A10F2" w:rsidRDefault="0089275A" w:rsidP="0049276F">
            <w:pPr>
              <w:spacing w:beforeLines="60" w:afterLines="60"/>
              <w:rPr>
                <w:rFonts w:ascii="Verdana" w:hAnsi="Verdana" w:cs="Arial"/>
                <w:sz w:val="16"/>
                <w:szCs w:val="16"/>
              </w:rPr>
            </w:pPr>
          </w:p>
        </w:tc>
        <w:tc>
          <w:tcPr>
            <w:tcW w:w="369" w:type="pct"/>
          </w:tcPr>
          <w:p w:rsidR="0089275A" w:rsidRPr="003E7E60" w:rsidRDefault="0089275A" w:rsidP="0049276F">
            <w:pPr>
              <w:spacing w:beforeLines="60" w:afterLines="60"/>
              <w:rPr>
                <w:rFonts w:ascii="Verdana" w:hAnsi="Verdana" w:cs="Arial"/>
                <w:i/>
                <w:sz w:val="16"/>
                <w:szCs w:val="16"/>
              </w:rPr>
            </w:pPr>
            <w:r w:rsidRPr="003E7E60">
              <w:rPr>
                <w:rFonts w:ascii="Verdana" w:hAnsi="Verdana" w:cs="Arial"/>
                <w:i/>
                <w:sz w:val="16"/>
                <w:szCs w:val="16"/>
              </w:rPr>
              <w:t>Modify</w:t>
            </w:r>
          </w:p>
        </w:tc>
        <w:tc>
          <w:tcPr>
            <w:tcW w:w="4317" w:type="pct"/>
            <w:vMerge/>
            <w:tcBorders>
              <w:top w:val="nil"/>
              <w:bottom w:val="single" w:sz="4" w:space="0" w:color="auto"/>
            </w:tcBorders>
          </w:tcPr>
          <w:p w:rsidR="008566FB" w:rsidRDefault="008566FB" w:rsidP="0049276F">
            <w:pPr>
              <w:autoSpaceDE w:val="0"/>
              <w:autoSpaceDN w:val="0"/>
              <w:adjustRightInd w:val="0"/>
              <w:spacing w:beforeLines="60" w:afterLines="60"/>
              <w:rPr>
                <w:rFonts w:ascii="Verdana" w:hAnsi="Verdana" w:cs="Arial"/>
                <w:sz w:val="20"/>
                <w:szCs w:val="20"/>
              </w:rPr>
            </w:pPr>
          </w:p>
        </w:tc>
      </w:tr>
      <w:tr w:rsidR="0089275A" w:rsidRPr="009A10F2" w:rsidTr="003E7E60">
        <w:trPr>
          <w:cantSplit/>
          <w:trHeight w:val="512"/>
        </w:trPr>
        <w:tc>
          <w:tcPr>
            <w:tcW w:w="314" w:type="pct"/>
          </w:tcPr>
          <w:p w:rsidR="0089275A" w:rsidRPr="009A10F2" w:rsidRDefault="0089275A" w:rsidP="0049276F">
            <w:pPr>
              <w:spacing w:beforeLines="60" w:afterLines="60"/>
              <w:rPr>
                <w:rFonts w:ascii="Verdana" w:hAnsi="Verdana" w:cs="Arial"/>
                <w:sz w:val="16"/>
                <w:szCs w:val="16"/>
              </w:rPr>
            </w:pPr>
          </w:p>
        </w:tc>
        <w:tc>
          <w:tcPr>
            <w:tcW w:w="369" w:type="pct"/>
          </w:tcPr>
          <w:p w:rsidR="0089275A" w:rsidRPr="003E7E60" w:rsidRDefault="0089275A" w:rsidP="0049276F">
            <w:pPr>
              <w:spacing w:beforeLines="60" w:afterLines="60"/>
              <w:rPr>
                <w:rFonts w:ascii="Verdana" w:hAnsi="Verdana" w:cs="Arial"/>
                <w:i/>
                <w:sz w:val="16"/>
                <w:szCs w:val="16"/>
              </w:rPr>
            </w:pPr>
            <w:r w:rsidRPr="003E7E60">
              <w:rPr>
                <w:rFonts w:ascii="Verdana" w:hAnsi="Verdana" w:cs="Arial"/>
                <w:i/>
                <w:sz w:val="16"/>
                <w:szCs w:val="16"/>
              </w:rPr>
              <w:t>Abolish</w:t>
            </w:r>
          </w:p>
        </w:tc>
        <w:tc>
          <w:tcPr>
            <w:tcW w:w="4317" w:type="pct"/>
            <w:vMerge/>
            <w:tcBorders>
              <w:top w:val="nil"/>
              <w:bottom w:val="single" w:sz="4" w:space="0" w:color="auto"/>
            </w:tcBorders>
          </w:tcPr>
          <w:p w:rsidR="008566FB" w:rsidRDefault="008566FB" w:rsidP="0049276F">
            <w:pPr>
              <w:autoSpaceDE w:val="0"/>
              <w:autoSpaceDN w:val="0"/>
              <w:adjustRightInd w:val="0"/>
              <w:spacing w:beforeLines="60" w:afterLines="60"/>
              <w:rPr>
                <w:rFonts w:ascii="Verdana" w:hAnsi="Verdana" w:cs="Arial"/>
                <w:sz w:val="20"/>
                <w:szCs w:val="20"/>
              </w:rPr>
            </w:pPr>
          </w:p>
        </w:tc>
      </w:tr>
    </w:tbl>
    <w:p w:rsidR="0055123C" w:rsidRPr="00FA7BE8" w:rsidRDefault="0055123C" w:rsidP="00885183"/>
    <w:sectPr w:rsidR="0055123C" w:rsidRPr="00FA7BE8" w:rsidSect="00867796">
      <w:footerReference w:type="default" r:id="rId8"/>
      <w:pgSz w:w="15840" w:h="12240" w:orient="landscape"/>
      <w:pgMar w:top="900" w:right="720" w:bottom="450" w:left="720" w:header="54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796" w:rsidRDefault="00867796" w:rsidP="00E17B66">
      <w:r>
        <w:separator/>
      </w:r>
    </w:p>
  </w:endnote>
  <w:endnote w:type="continuationSeparator" w:id="0">
    <w:p w:rsidR="00867796" w:rsidRDefault="00867796" w:rsidP="00E17B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tempelGaramond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011689"/>
      <w:docPartObj>
        <w:docPartGallery w:val="Page Numbers (Bottom of Page)"/>
        <w:docPartUnique/>
      </w:docPartObj>
    </w:sdtPr>
    <w:sdtContent>
      <w:p w:rsidR="00867796" w:rsidRDefault="00867796">
        <w:pPr>
          <w:pStyle w:val="Footer"/>
          <w:jc w:val="center"/>
        </w:pPr>
        <w:fldSimple w:instr=" PAGE   \* MERGEFORMAT ">
          <w:r w:rsidR="006A00B9">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796" w:rsidRDefault="00867796" w:rsidP="00E17B66">
      <w:r>
        <w:separator/>
      </w:r>
    </w:p>
  </w:footnote>
  <w:footnote w:type="continuationSeparator" w:id="0">
    <w:p w:rsidR="00867796" w:rsidRDefault="00867796" w:rsidP="00E17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numPicBullet w:numPicBulletId="1">
    <w:pict>
      <v:shape id="_x0000_i1060" type="#_x0000_t75" style="width:3in;height:3in" o:bullet="t"/>
    </w:pict>
  </w:numPicBullet>
  <w:numPicBullet w:numPicBulletId="2">
    <w:pict>
      <v:shape id="_x0000_i1061" type="#_x0000_t75" style="width:3in;height:3in" o:bullet="t"/>
    </w:pict>
  </w:numPicBullet>
  <w:abstractNum w:abstractNumId="0">
    <w:nsid w:val="015671E4"/>
    <w:multiLevelType w:val="hybridMultilevel"/>
    <w:tmpl w:val="05BA127C"/>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D36F86"/>
    <w:multiLevelType w:val="multilevel"/>
    <w:tmpl w:val="98AA3B8E"/>
    <w:lvl w:ilvl="0">
      <w:start w:val="1"/>
      <w:numFmt w:val="bullet"/>
      <w:lvlText w:val=""/>
      <w:lvlJc w:val="left"/>
      <w:pPr>
        <w:tabs>
          <w:tab w:val="num" w:pos="720"/>
        </w:tabs>
        <w:ind w:left="72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9F6487"/>
    <w:multiLevelType w:val="hybridMultilevel"/>
    <w:tmpl w:val="7E9A789A"/>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4C1A5B"/>
    <w:multiLevelType w:val="multilevel"/>
    <w:tmpl w:val="915CF7F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51A99"/>
    <w:multiLevelType w:val="hybridMultilevel"/>
    <w:tmpl w:val="20DCD87E"/>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437BAF"/>
    <w:multiLevelType w:val="hybridMultilevel"/>
    <w:tmpl w:val="94003F36"/>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776FFE"/>
    <w:multiLevelType w:val="hybridMultilevel"/>
    <w:tmpl w:val="463E08FE"/>
    <w:lvl w:ilvl="0" w:tplc="19900BE2">
      <w:start w:val="1"/>
      <w:numFmt w:val="bullet"/>
      <w:lvlText w:val="?"/>
      <w:lvlJc w:val="left"/>
      <w:pPr>
        <w:tabs>
          <w:tab w:val="num" w:pos="720"/>
        </w:tabs>
        <w:ind w:left="720" w:hanging="720"/>
      </w:pPr>
      <w:rPr>
        <w:rFonts w:ascii="StempelGaramond Roman" w:hAnsi="StempelGaramond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687BA8"/>
    <w:multiLevelType w:val="multilevel"/>
    <w:tmpl w:val="64184D74"/>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76311E4"/>
    <w:multiLevelType w:val="hybridMultilevel"/>
    <w:tmpl w:val="666CB35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3E0546"/>
    <w:multiLevelType w:val="hybridMultilevel"/>
    <w:tmpl w:val="39689CE8"/>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981BD5"/>
    <w:multiLevelType w:val="hybridMultilevel"/>
    <w:tmpl w:val="BE508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7E70D6"/>
    <w:multiLevelType w:val="hybridMultilevel"/>
    <w:tmpl w:val="1E2AB1F8"/>
    <w:lvl w:ilvl="0" w:tplc="B44A17A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865594"/>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nsid w:val="43C10319"/>
    <w:multiLevelType w:val="hybridMultilevel"/>
    <w:tmpl w:val="28E65F1A"/>
    <w:lvl w:ilvl="0" w:tplc="38323ED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1E7F71"/>
    <w:multiLevelType w:val="hybridMultilevel"/>
    <w:tmpl w:val="BB426E40"/>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4A2F3A0A"/>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nsid w:val="4B52594C"/>
    <w:multiLevelType w:val="hybridMultilevel"/>
    <w:tmpl w:val="763A2EB8"/>
    <w:lvl w:ilvl="0" w:tplc="38323E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7155B3"/>
    <w:multiLevelType w:val="multilevel"/>
    <w:tmpl w:val="94003F36"/>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E6673E8"/>
    <w:multiLevelType w:val="multilevel"/>
    <w:tmpl w:val="05BA127C"/>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505F0AED"/>
    <w:multiLevelType w:val="hybridMultilevel"/>
    <w:tmpl w:val="C6649510"/>
    <w:lvl w:ilvl="0" w:tplc="72E2CB3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910463"/>
    <w:multiLevelType w:val="hybridMultilevel"/>
    <w:tmpl w:val="F85EFB38"/>
    <w:lvl w:ilvl="0" w:tplc="E794CC7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5C3E7C44"/>
    <w:multiLevelType w:val="multilevel"/>
    <w:tmpl w:val="2258E706"/>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1080"/>
        </w:tabs>
        <w:ind w:left="1080" w:hanging="72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605E4A33"/>
    <w:multiLevelType w:val="hybridMultilevel"/>
    <w:tmpl w:val="3D9ABA9C"/>
    <w:lvl w:ilvl="0" w:tplc="72E2CB38">
      <w:start w:val="1"/>
      <w:numFmt w:val="bullet"/>
      <w:lvlText w:val=""/>
      <w:lvlJc w:val="left"/>
      <w:pPr>
        <w:tabs>
          <w:tab w:val="num" w:pos="288"/>
        </w:tabs>
        <w:ind w:left="288" w:hanging="288"/>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648349BB"/>
    <w:multiLevelType w:val="hybridMultilevel"/>
    <w:tmpl w:val="98AA3B8E"/>
    <w:lvl w:ilvl="0" w:tplc="18C0D60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76364B"/>
    <w:multiLevelType w:val="hybridMultilevel"/>
    <w:tmpl w:val="2258E706"/>
    <w:lvl w:ilvl="0" w:tplc="758ACEE6">
      <w:start w:val="1"/>
      <w:numFmt w:val="bullet"/>
      <w:lvlText w:val=""/>
      <w:lvlJc w:val="left"/>
      <w:pPr>
        <w:tabs>
          <w:tab w:val="num" w:pos="720"/>
        </w:tabs>
        <w:ind w:left="720" w:hanging="720"/>
      </w:pPr>
      <w:rPr>
        <w:rFonts w:ascii="Wingdings" w:hAnsi="Wingdings" w:hint="default"/>
      </w:rPr>
    </w:lvl>
    <w:lvl w:ilvl="1" w:tplc="211209F8">
      <w:start w:val="1"/>
      <w:numFmt w:val="bullet"/>
      <w:lvlText w:val=""/>
      <w:lvlJc w:val="left"/>
      <w:pPr>
        <w:tabs>
          <w:tab w:val="num" w:pos="1080"/>
        </w:tabs>
        <w:ind w:left="1080" w:hanging="72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65E55BBF"/>
    <w:multiLevelType w:val="hybridMultilevel"/>
    <w:tmpl w:val="5BCE3FEA"/>
    <w:lvl w:ilvl="0" w:tplc="38323E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60365C"/>
    <w:multiLevelType w:val="multilevel"/>
    <w:tmpl w:val="1E2AB1F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B2F2F24"/>
    <w:multiLevelType w:val="hybridMultilevel"/>
    <w:tmpl w:val="647C77F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1F3833"/>
    <w:multiLevelType w:val="hybridMultilevel"/>
    <w:tmpl w:val="64184D74"/>
    <w:lvl w:ilvl="0" w:tplc="A3C8CE7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D32858"/>
    <w:multiLevelType w:val="hybridMultilevel"/>
    <w:tmpl w:val="C1264D32"/>
    <w:lvl w:ilvl="0" w:tplc="22FEF2B4">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0">
    <w:nsid w:val="73FC5042"/>
    <w:multiLevelType w:val="hybridMultilevel"/>
    <w:tmpl w:val="B8ECBB66"/>
    <w:lvl w:ilvl="0" w:tplc="EF6C8A9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D062E3"/>
    <w:multiLevelType w:val="multilevel"/>
    <w:tmpl w:val="33D4A558"/>
    <w:lvl w:ilvl="0">
      <w:start w:val="1"/>
      <w:numFmt w:val="bullet"/>
      <w:lvlText w:val=""/>
      <w:lvlJc w:val="left"/>
      <w:pPr>
        <w:tabs>
          <w:tab w:val="num" w:pos="288"/>
        </w:tabs>
        <w:ind w:left="28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4"/>
  </w:num>
  <w:num w:numId="4">
    <w:abstractNumId w:val="29"/>
  </w:num>
  <w:num w:numId="5">
    <w:abstractNumId w:val="21"/>
  </w:num>
  <w:num w:numId="6">
    <w:abstractNumId w:val="0"/>
  </w:num>
  <w:num w:numId="7">
    <w:abstractNumId w:val="4"/>
  </w:num>
  <w:num w:numId="8">
    <w:abstractNumId w:val="23"/>
  </w:num>
  <w:num w:numId="9">
    <w:abstractNumId w:val="1"/>
  </w:num>
  <w:num w:numId="10">
    <w:abstractNumId w:val="11"/>
  </w:num>
  <w:num w:numId="11">
    <w:abstractNumId w:val="18"/>
  </w:num>
  <w:num w:numId="12">
    <w:abstractNumId w:val="20"/>
  </w:num>
  <w:num w:numId="13">
    <w:abstractNumId w:val="26"/>
  </w:num>
  <w:num w:numId="14">
    <w:abstractNumId w:val="8"/>
  </w:num>
  <w:num w:numId="15">
    <w:abstractNumId w:val="31"/>
  </w:num>
  <w:num w:numId="16">
    <w:abstractNumId w:val="28"/>
  </w:num>
  <w:num w:numId="17">
    <w:abstractNumId w:val="12"/>
  </w:num>
  <w:num w:numId="18">
    <w:abstractNumId w:val="22"/>
  </w:num>
  <w:num w:numId="19">
    <w:abstractNumId w:val="15"/>
  </w:num>
  <w:num w:numId="20">
    <w:abstractNumId w:val="14"/>
  </w:num>
  <w:num w:numId="21">
    <w:abstractNumId w:val="7"/>
  </w:num>
  <w:num w:numId="22">
    <w:abstractNumId w:val="5"/>
  </w:num>
  <w:num w:numId="23">
    <w:abstractNumId w:val="17"/>
  </w:num>
  <w:num w:numId="24">
    <w:abstractNumId w:val="27"/>
  </w:num>
  <w:num w:numId="25">
    <w:abstractNumId w:val="9"/>
  </w:num>
  <w:num w:numId="26">
    <w:abstractNumId w:val="2"/>
  </w:num>
  <w:num w:numId="27">
    <w:abstractNumId w:val="19"/>
  </w:num>
  <w:num w:numId="28">
    <w:abstractNumId w:val="30"/>
  </w:num>
  <w:num w:numId="29">
    <w:abstractNumId w:val="25"/>
  </w:num>
  <w:num w:numId="30">
    <w:abstractNumId w:val="13"/>
  </w:num>
  <w:num w:numId="31">
    <w:abstractNumId w:val="16"/>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F457B3"/>
    <w:rsid w:val="00004415"/>
    <w:rsid w:val="000053D0"/>
    <w:rsid w:val="000143DF"/>
    <w:rsid w:val="00026511"/>
    <w:rsid w:val="000530F9"/>
    <w:rsid w:val="00077602"/>
    <w:rsid w:val="00080637"/>
    <w:rsid w:val="0008472F"/>
    <w:rsid w:val="000B362F"/>
    <w:rsid w:val="000E5FA9"/>
    <w:rsid w:val="000E62D1"/>
    <w:rsid w:val="001028C3"/>
    <w:rsid w:val="00103763"/>
    <w:rsid w:val="00123BBC"/>
    <w:rsid w:val="00124DC8"/>
    <w:rsid w:val="00147497"/>
    <w:rsid w:val="00153D90"/>
    <w:rsid w:val="001553D9"/>
    <w:rsid w:val="00155BC1"/>
    <w:rsid w:val="001763BC"/>
    <w:rsid w:val="00186048"/>
    <w:rsid w:val="001B1EF0"/>
    <w:rsid w:val="001C23EB"/>
    <w:rsid w:val="001D40F1"/>
    <w:rsid w:val="001E2BEA"/>
    <w:rsid w:val="001F203E"/>
    <w:rsid w:val="00202588"/>
    <w:rsid w:val="0020293E"/>
    <w:rsid w:val="0020578A"/>
    <w:rsid w:val="00220CE6"/>
    <w:rsid w:val="00222BA8"/>
    <w:rsid w:val="002424C8"/>
    <w:rsid w:val="0024589C"/>
    <w:rsid w:val="00246514"/>
    <w:rsid w:val="00272D1A"/>
    <w:rsid w:val="002758F6"/>
    <w:rsid w:val="00276DFA"/>
    <w:rsid w:val="00283BB2"/>
    <w:rsid w:val="00285E04"/>
    <w:rsid w:val="002A1839"/>
    <w:rsid w:val="002A3305"/>
    <w:rsid w:val="002A52A8"/>
    <w:rsid w:val="002B3CA8"/>
    <w:rsid w:val="002C1308"/>
    <w:rsid w:val="002C7B30"/>
    <w:rsid w:val="002E3782"/>
    <w:rsid w:val="002E6530"/>
    <w:rsid w:val="002E6EF3"/>
    <w:rsid w:val="002E7ECC"/>
    <w:rsid w:val="002F5C65"/>
    <w:rsid w:val="00307368"/>
    <w:rsid w:val="00327E9B"/>
    <w:rsid w:val="003352D8"/>
    <w:rsid w:val="0033543B"/>
    <w:rsid w:val="00345CF3"/>
    <w:rsid w:val="00366F89"/>
    <w:rsid w:val="00377FCA"/>
    <w:rsid w:val="00380116"/>
    <w:rsid w:val="00386ED9"/>
    <w:rsid w:val="00393A44"/>
    <w:rsid w:val="003A31E0"/>
    <w:rsid w:val="003D1752"/>
    <w:rsid w:val="003D4226"/>
    <w:rsid w:val="003D5A81"/>
    <w:rsid w:val="003E1EF8"/>
    <w:rsid w:val="003E2D07"/>
    <w:rsid w:val="003E34ED"/>
    <w:rsid w:val="003E4710"/>
    <w:rsid w:val="003E603F"/>
    <w:rsid w:val="003E7E60"/>
    <w:rsid w:val="003F2277"/>
    <w:rsid w:val="004366B8"/>
    <w:rsid w:val="00444CF4"/>
    <w:rsid w:val="004511C4"/>
    <w:rsid w:val="00455F67"/>
    <w:rsid w:val="0046330A"/>
    <w:rsid w:val="00463FED"/>
    <w:rsid w:val="00472AAE"/>
    <w:rsid w:val="00490DCE"/>
    <w:rsid w:val="0049276F"/>
    <w:rsid w:val="004B13C5"/>
    <w:rsid w:val="004B4BE7"/>
    <w:rsid w:val="004C23B7"/>
    <w:rsid w:val="004C5935"/>
    <w:rsid w:val="004C690E"/>
    <w:rsid w:val="004D2AF9"/>
    <w:rsid w:val="004D3BEB"/>
    <w:rsid w:val="004F191C"/>
    <w:rsid w:val="00522A72"/>
    <w:rsid w:val="00527A04"/>
    <w:rsid w:val="00531B48"/>
    <w:rsid w:val="0055123C"/>
    <w:rsid w:val="00552752"/>
    <w:rsid w:val="00573F75"/>
    <w:rsid w:val="005741B9"/>
    <w:rsid w:val="00575FB1"/>
    <w:rsid w:val="0059092A"/>
    <w:rsid w:val="00591E61"/>
    <w:rsid w:val="00595DD9"/>
    <w:rsid w:val="005A461A"/>
    <w:rsid w:val="005A5E4E"/>
    <w:rsid w:val="005A7C2A"/>
    <w:rsid w:val="005B393C"/>
    <w:rsid w:val="005D1EEA"/>
    <w:rsid w:val="005D396B"/>
    <w:rsid w:val="005D4B74"/>
    <w:rsid w:val="005E5A2C"/>
    <w:rsid w:val="005E71F5"/>
    <w:rsid w:val="006131B8"/>
    <w:rsid w:val="006179C0"/>
    <w:rsid w:val="00627095"/>
    <w:rsid w:val="006272C6"/>
    <w:rsid w:val="0066005C"/>
    <w:rsid w:val="00660E20"/>
    <w:rsid w:val="00684463"/>
    <w:rsid w:val="006911E0"/>
    <w:rsid w:val="00695731"/>
    <w:rsid w:val="006A00B9"/>
    <w:rsid w:val="006B1963"/>
    <w:rsid w:val="006C0BD2"/>
    <w:rsid w:val="006C1402"/>
    <w:rsid w:val="006C60E2"/>
    <w:rsid w:val="006D1BAE"/>
    <w:rsid w:val="006E49A4"/>
    <w:rsid w:val="00703579"/>
    <w:rsid w:val="007108D1"/>
    <w:rsid w:val="00725C84"/>
    <w:rsid w:val="00736D92"/>
    <w:rsid w:val="007421E5"/>
    <w:rsid w:val="00794EFB"/>
    <w:rsid w:val="00795315"/>
    <w:rsid w:val="00796398"/>
    <w:rsid w:val="007A2AC7"/>
    <w:rsid w:val="007B1148"/>
    <w:rsid w:val="007C3080"/>
    <w:rsid w:val="007C6906"/>
    <w:rsid w:val="007D2BC1"/>
    <w:rsid w:val="007E3A2E"/>
    <w:rsid w:val="007E5B66"/>
    <w:rsid w:val="007E6623"/>
    <w:rsid w:val="007F74DC"/>
    <w:rsid w:val="008225A3"/>
    <w:rsid w:val="0082687C"/>
    <w:rsid w:val="0083156C"/>
    <w:rsid w:val="00832880"/>
    <w:rsid w:val="00833A17"/>
    <w:rsid w:val="008365A5"/>
    <w:rsid w:val="00845B3A"/>
    <w:rsid w:val="008501BF"/>
    <w:rsid w:val="008566FB"/>
    <w:rsid w:val="00861FDD"/>
    <w:rsid w:val="00867796"/>
    <w:rsid w:val="008740F5"/>
    <w:rsid w:val="00874CAE"/>
    <w:rsid w:val="00885183"/>
    <w:rsid w:val="00885E0F"/>
    <w:rsid w:val="00887877"/>
    <w:rsid w:val="00891FF3"/>
    <w:rsid w:val="0089275A"/>
    <w:rsid w:val="008B0ED4"/>
    <w:rsid w:val="008B320D"/>
    <w:rsid w:val="008C64FE"/>
    <w:rsid w:val="008C6E51"/>
    <w:rsid w:val="008D4FEF"/>
    <w:rsid w:val="008E551B"/>
    <w:rsid w:val="008F67CD"/>
    <w:rsid w:val="00925661"/>
    <w:rsid w:val="00940AE5"/>
    <w:rsid w:val="00951B61"/>
    <w:rsid w:val="00965549"/>
    <w:rsid w:val="0096734F"/>
    <w:rsid w:val="009837E2"/>
    <w:rsid w:val="00987615"/>
    <w:rsid w:val="009A10F2"/>
    <w:rsid w:val="009B44F2"/>
    <w:rsid w:val="009B5267"/>
    <w:rsid w:val="009C2095"/>
    <w:rsid w:val="009C3E41"/>
    <w:rsid w:val="009D3AD6"/>
    <w:rsid w:val="009E038C"/>
    <w:rsid w:val="009E4D98"/>
    <w:rsid w:val="00A044FB"/>
    <w:rsid w:val="00A0661D"/>
    <w:rsid w:val="00A2066D"/>
    <w:rsid w:val="00A32913"/>
    <w:rsid w:val="00A63293"/>
    <w:rsid w:val="00A7421A"/>
    <w:rsid w:val="00A80680"/>
    <w:rsid w:val="00A81663"/>
    <w:rsid w:val="00A9728C"/>
    <w:rsid w:val="00AA3D8C"/>
    <w:rsid w:val="00AB30F5"/>
    <w:rsid w:val="00AB5E2A"/>
    <w:rsid w:val="00AC1E59"/>
    <w:rsid w:val="00AC3485"/>
    <w:rsid w:val="00B00EEF"/>
    <w:rsid w:val="00B0490C"/>
    <w:rsid w:val="00B11751"/>
    <w:rsid w:val="00B136A7"/>
    <w:rsid w:val="00B17D6C"/>
    <w:rsid w:val="00B23B36"/>
    <w:rsid w:val="00B32A3E"/>
    <w:rsid w:val="00B43F2E"/>
    <w:rsid w:val="00B7322C"/>
    <w:rsid w:val="00B81B7F"/>
    <w:rsid w:val="00B96C8F"/>
    <w:rsid w:val="00BA0104"/>
    <w:rsid w:val="00BA1BF1"/>
    <w:rsid w:val="00BA38D1"/>
    <w:rsid w:val="00BF650F"/>
    <w:rsid w:val="00C06A20"/>
    <w:rsid w:val="00C10067"/>
    <w:rsid w:val="00C112A2"/>
    <w:rsid w:val="00C14A45"/>
    <w:rsid w:val="00C31458"/>
    <w:rsid w:val="00C33692"/>
    <w:rsid w:val="00C34C7A"/>
    <w:rsid w:val="00C53240"/>
    <w:rsid w:val="00C534F8"/>
    <w:rsid w:val="00C53E3D"/>
    <w:rsid w:val="00C73F73"/>
    <w:rsid w:val="00C818F0"/>
    <w:rsid w:val="00C83B11"/>
    <w:rsid w:val="00C86EEE"/>
    <w:rsid w:val="00C93DD1"/>
    <w:rsid w:val="00C96BE8"/>
    <w:rsid w:val="00CA77EA"/>
    <w:rsid w:val="00CB01FE"/>
    <w:rsid w:val="00CB32EC"/>
    <w:rsid w:val="00CD5D2B"/>
    <w:rsid w:val="00CE0E9F"/>
    <w:rsid w:val="00CE5C26"/>
    <w:rsid w:val="00D07A88"/>
    <w:rsid w:val="00D11AB3"/>
    <w:rsid w:val="00D12FB6"/>
    <w:rsid w:val="00D135BF"/>
    <w:rsid w:val="00D16830"/>
    <w:rsid w:val="00D25954"/>
    <w:rsid w:val="00D54298"/>
    <w:rsid w:val="00D54A3C"/>
    <w:rsid w:val="00D55046"/>
    <w:rsid w:val="00D70C20"/>
    <w:rsid w:val="00D76511"/>
    <w:rsid w:val="00D87997"/>
    <w:rsid w:val="00D910CD"/>
    <w:rsid w:val="00DB12F5"/>
    <w:rsid w:val="00DC03C3"/>
    <w:rsid w:val="00DD69A2"/>
    <w:rsid w:val="00DE2471"/>
    <w:rsid w:val="00DE6789"/>
    <w:rsid w:val="00DF4DFA"/>
    <w:rsid w:val="00E006FD"/>
    <w:rsid w:val="00E1368F"/>
    <w:rsid w:val="00E16F03"/>
    <w:rsid w:val="00E17995"/>
    <w:rsid w:val="00E17B66"/>
    <w:rsid w:val="00E23D2D"/>
    <w:rsid w:val="00E26465"/>
    <w:rsid w:val="00E30E0E"/>
    <w:rsid w:val="00E64AF3"/>
    <w:rsid w:val="00E72064"/>
    <w:rsid w:val="00E743BE"/>
    <w:rsid w:val="00E767AE"/>
    <w:rsid w:val="00E8655F"/>
    <w:rsid w:val="00E92104"/>
    <w:rsid w:val="00E9714D"/>
    <w:rsid w:val="00EA2308"/>
    <w:rsid w:val="00EA7D0E"/>
    <w:rsid w:val="00EC2BC6"/>
    <w:rsid w:val="00ED4EF0"/>
    <w:rsid w:val="00EF1A7C"/>
    <w:rsid w:val="00F05486"/>
    <w:rsid w:val="00F151E2"/>
    <w:rsid w:val="00F3660D"/>
    <w:rsid w:val="00F37A2D"/>
    <w:rsid w:val="00F457B3"/>
    <w:rsid w:val="00F575B5"/>
    <w:rsid w:val="00F60D88"/>
    <w:rsid w:val="00F87A69"/>
    <w:rsid w:val="00F93343"/>
    <w:rsid w:val="00F94023"/>
    <w:rsid w:val="00FA261B"/>
    <w:rsid w:val="00FA7BE8"/>
    <w:rsid w:val="00FB3751"/>
    <w:rsid w:val="00FC2453"/>
    <w:rsid w:val="00FC6066"/>
    <w:rsid w:val="00FE3281"/>
    <w:rsid w:val="00FF7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F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45B3A"/>
    <w:rPr>
      <w:rFonts w:ascii="Tahoma" w:hAnsi="Tahoma" w:cs="Tahoma"/>
      <w:sz w:val="16"/>
      <w:szCs w:val="16"/>
    </w:rPr>
  </w:style>
  <w:style w:type="character" w:styleId="Hyperlink">
    <w:name w:val="Hyperlink"/>
    <w:basedOn w:val="DefaultParagraphFont"/>
    <w:rsid w:val="001C23EB"/>
    <w:rPr>
      <w:b w:val="0"/>
      <w:bCs w:val="0"/>
      <w:color w:val="000066"/>
      <w:u w:val="single"/>
    </w:rPr>
  </w:style>
  <w:style w:type="paragraph" w:styleId="NormalWeb">
    <w:name w:val="Normal (Web)"/>
    <w:basedOn w:val="Normal"/>
    <w:uiPriority w:val="99"/>
    <w:rsid w:val="001C23EB"/>
    <w:pPr>
      <w:spacing w:before="100" w:beforeAutospacing="1" w:after="100" w:afterAutospacing="1"/>
    </w:pPr>
  </w:style>
  <w:style w:type="character" w:styleId="Strong">
    <w:name w:val="Strong"/>
    <w:basedOn w:val="DefaultParagraphFont"/>
    <w:qFormat/>
    <w:rsid w:val="001C23EB"/>
    <w:rPr>
      <w:b/>
      <w:bCs/>
    </w:rPr>
  </w:style>
  <w:style w:type="paragraph" w:styleId="Header">
    <w:name w:val="header"/>
    <w:basedOn w:val="Normal"/>
    <w:link w:val="HeaderChar"/>
    <w:rsid w:val="00E17B66"/>
    <w:pPr>
      <w:tabs>
        <w:tab w:val="center" w:pos="4680"/>
        <w:tab w:val="right" w:pos="9360"/>
      </w:tabs>
    </w:pPr>
  </w:style>
  <w:style w:type="character" w:customStyle="1" w:styleId="HeaderChar">
    <w:name w:val="Header Char"/>
    <w:basedOn w:val="DefaultParagraphFont"/>
    <w:link w:val="Header"/>
    <w:rsid w:val="00E17B66"/>
    <w:rPr>
      <w:sz w:val="24"/>
      <w:szCs w:val="24"/>
    </w:rPr>
  </w:style>
  <w:style w:type="paragraph" w:styleId="Footer">
    <w:name w:val="footer"/>
    <w:basedOn w:val="Normal"/>
    <w:link w:val="FooterChar"/>
    <w:uiPriority w:val="99"/>
    <w:rsid w:val="00E17B66"/>
    <w:pPr>
      <w:tabs>
        <w:tab w:val="center" w:pos="4680"/>
        <w:tab w:val="right" w:pos="9360"/>
      </w:tabs>
    </w:pPr>
  </w:style>
  <w:style w:type="character" w:customStyle="1" w:styleId="FooterChar">
    <w:name w:val="Footer Char"/>
    <w:basedOn w:val="DefaultParagraphFont"/>
    <w:link w:val="Footer"/>
    <w:uiPriority w:val="99"/>
    <w:rsid w:val="00E17B66"/>
    <w:rPr>
      <w:sz w:val="24"/>
      <w:szCs w:val="24"/>
    </w:rPr>
  </w:style>
  <w:style w:type="paragraph" w:styleId="ListParagraph">
    <w:name w:val="List Paragraph"/>
    <w:basedOn w:val="Normal"/>
    <w:uiPriority w:val="34"/>
    <w:qFormat/>
    <w:rsid w:val="003E1EF8"/>
    <w:pPr>
      <w:ind w:left="720"/>
      <w:contextualSpacing/>
    </w:pPr>
  </w:style>
  <w:style w:type="character" w:styleId="CommentReference">
    <w:name w:val="annotation reference"/>
    <w:basedOn w:val="DefaultParagraphFont"/>
    <w:rsid w:val="00B00EEF"/>
    <w:rPr>
      <w:sz w:val="16"/>
      <w:szCs w:val="16"/>
    </w:rPr>
  </w:style>
  <w:style w:type="paragraph" w:styleId="CommentText">
    <w:name w:val="annotation text"/>
    <w:basedOn w:val="Normal"/>
    <w:link w:val="CommentTextChar"/>
    <w:rsid w:val="00B00EEF"/>
    <w:rPr>
      <w:sz w:val="20"/>
      <w:szCs w:val="20"/>
    </w:rPr>
  </w:style>
  <w:style w:type="character" w:customStyle="1" w:styleId="CommentTextChar">
    <w:name w:val="Comment Text Char"/>
    <w:basedOn w:val="DefaultParagraphFont"/>
    <w:link w:val="CommentText"/>
    <w:rsid w:val="00B00EEF"/>
  </w:style>
  <w:style w:type="paragraph" w:styleId="CommentSubject">
    <w:name w:val="annotation subject"/>
    <w:basedOn w:val="CommentText"/>
    <w:next w:val="CommentText"/>
    <w:link w:val="CommentSubjectChar"/>
    <w:rsid w:val="00B00EEF"/>
    <w:rPr>
      <w:b/>
      <w:bCs/>
    </w:rPr>
  </w:style>
  <w:style w:type="character" w:customStyle="1" w:styleId="CommentSubjectChar">
    <w:name w:val="Comment Subject Char"/>
    <w:basedOn w:val="CommentTextChar"/>
    <w:link w:val="CommentSubject"/>
    <w:rsid w:val="00B00EEF"/>
    <w:rPr>
      <w:b/>
      <w:bCs/>
    </w:rPr>
  </w:style>
</w:styles>
</file>

<file path=word/webSettings.xml><?xml version="1.0" encoding="utf-8"?>
<w:webSettings xmlns:r="http://schemas.openxmlformats.org/officeDocument/2006/relationships" xmlns:w="http://schemas.openxmlformats.org/wordprocessingml/2006/main">
  <w:divs>
    <w:div w:id="39014922">
      <w:bodyDiv w:val="1"/>
      <w:marLeft w:val="0"/>
      <w:marRight w:val="0"/>
      <w:marTop w:val="0"/>
      <w:marBottom w:val="0"/>
      <w:divBdr>
        <w:top w:val="none" w:sz="0" w:space="0" w:color="auto"/>
        <w:left w:val="none" w:sz="0" w:space="0" w:color="auto"/>
        <w:bottom w:val="none" w:sz="0" w:space="0" w:color="auto"/>
        <w:right w:val="none" w:sz="0" w:space="0" w:color="auto"/>
      </w:divBdr>
      <w:divsChild>
        <w:div w:id="1781755315">
          <w:marLeft w:val="0"/>
          <w:marRight w:val="0"/>
          <w:marTop w:val="0"/>
          <w:marBottom w:val="0"/>
          <w:divBdr>
            <w:top w:val="single" w:sz="6" w:space="1" w:color="CCCCCC"/>
            <w:left w:val="single" w:sz="6" w:space="1" w:color="CCCCCC"/>
            <w:bottom w:val="single" w:sz="6" w:space="1" w:color="CCCCCC"/>
            <w:right w:val="single" w:sz="6" w:space="1" w:color="CCCCCC"/>
          </w:divBdr>
          <w:divsChild>
            <w:div w:id="722414000">
              <w:marLeft w:val="0"/>
              <w:marRight w:val="0"/>
              <w:marTop w:val="0"/>
              <w:marBottom w:val="0"/>
              <w:divBdr>
                <w:top w:val="none" w:sz="0" w:space="0" w:color="auto"/>
                <w:left w:val="none" w:sz="0" w:space="0" w:color="auto"/>
                <w:bottom w:val="none" w:sz="0" w:space="0" w:color="auto"/>
                <w:right w:val="none" w:sz="0" w:space="0" w:color="auto"/>
              </w:divBdr>
              <w:divsChild>
                <w:div w:id="418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1392">
      <w:bodyDiv w:val="1"/>
      <w:marLeft w:val="0"/>
      <w:marRight w:val="0"/>
      <w:marTop w:val="0"/>
      <w:marBottom w:val="0"/>
      <w:divBdr>
        <w:top w:val="none" w:sz="0" w:space="0" w:color="auto"/>
        <w:left w:val="none" w:sz="0" w:space="0" w:color="auto"/>
        <w:bottom w:val="none" w:sz="0" w:space="0" w:color="auto"/>
        <w:right w:val="none" w:sz="0" w:space="0" w:color="auto"/>
      </w:divBdr>
      <w:divsChild>
        <w:div w:id="119957465">
          <w:marLeft w:val="0"/>
          <w:marRight w:val="0"/>
          <w:marTop w:val="0"/>
          <w:marBottom w:val="0"/>
          <w:divBdr>
            <w:top w:val="single" w:sz="6" w:space="1" w:color="CCCCCC"/>
            <w:left w:val="single" w:sz="6" w:space="1" w:color="CCCCCC"/>
            <w:bottom w:val="single" w:sz="6" w:space="1" w:color="CCCCCC"/>
            <w:right w:val="single" w:sz="6" w:space="1" w:color="CCCCCC"/>
          </w:divBdr>
          <w:divsChild>
            <w:div w:id="1038580441">
              <w:marLeft w:val="0"/>
              <w:marRight w:val="0"/>
              <w:marTop w:val="0"/>
              <w:marBottom w:val="0"/>
              <w:divBdr>
                <w:top w:val="none" w:sz="0" w:space="0" w:color="auto"/>
                <w:left w:val="none" w:sz="0" w:space="0" w:color="auto"/>
                <w:bottom w:val="none" w:sz="0" w:space="0" w:color="auto"/>
                <w:right w:val="none" w:sz="0" w:space="0" w:color="auto"/>
              </w:divBdr>
              <w:divsChild>
                <w:div w:id="12106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8362">
      <w:bodyDiv w:val="1"/>
      <w:marLeft w:val="0"/>
      <w:marRight w:val="0"/>
      <w:marTop w:val="0"/>
      <w:marBottom w:val="0"/>
      <w:divBdr>
        <w:top w:val="none" w:sz="0" w:space="0" w:color="auto"/>
        <w:left w:val="none" w:sz="0" w:space="0" w:color="auto"/>
        <w:bottom w:val="none" w:sz="0" w:space="0" w:color="auto"/>
        <w:right w:val="none" w:sz="0" w:space="0" w:color="auto"/>
      </w:divBdr>
      <w:divsChild>
        <w:div w:id="2142964971">
          <w:marLeft w:val="0"/>
          <w:marRight w:val="0"/>
          <w:marTop w:val="0"/>
          <w:marBottom w:val="0"/>
          <w:divBdr>
            <w:top w:val="none" w:sz="0" w:space="0" w:color="auto"/>
            <w:left w:val="none" w:sz="0" w:space="0" w:color="auto"/>
            <w:bottom w:val="none" w:sz="0" w:space="0" w:color="auto"/>
            <w:right w:val="none" w:sz="0" w:space="0" w:color="auto"/>
          </w:divBdr>
          <w:divsChild>
            <w:div w:id="779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9196">
      <w:bodyDiv w:val="1"/>
      <w:marLeft w:val="0"/>
      <w:marRight w:val="0"/>
      <w:marTop w:val="0"/>
      <w:marBottom w:val="0"/>
      <w:divBdr>
        <w:top w:val="none" w:sz="0" w:space="0" w:color="auto"/>
        <w:left w:val="none" w:sz="0" w:space="0" w:color="auto"/>
        <w:bottom w:val="none" w:sz="0" w:space="0" w:color="auto"/>
        <w:right w:val="none" w:sz="0" w:space="0" w:color="auto"/>
      </w:divBdr>
      <w:divsChild>
        <w:div w:id="158159943">
          <w:marLeft w:val="0"/>
          <w:marRight w:val="0"/>
          <w:marTop w:val="0"/>
          <w:marBottom w:val="0"/>
          <w:divBdr>
            <w:top w:val="single" w:sz="6" w:space="1" w:color="CCCCCC"/>
            <w:left w:val="single" w:sz="6" w:space="1" w:color="CCCCCC"/>
            <w:bottom w:val="single" w:sz="6" w:space="1" w:color="CCCCCC"/>
            <w:right w:val="single" w:sz="6" w:space="1" w:color="CCCCCC"/>
          </w:divBdr>
          <w:divsChild>
            <w:div w:id="88238564">
              <w:marLeft w:val="0"/>
              <w:marRight w:val="0"/>
              <w:marTop w:val="0"/>
              <w:marBottom w:val="0"/>
              <w:divBdr>
                <w:top w:val="none" w:sz="0" w:space="0" w:color="auto"/>
                <w:left w:val="none" w:sz="0" w:space="0" w:color="auto"/>
                <w:bottom w:val="none" w:sz="0" w:space="0" w:color="auto"/>
                <w:right w:val="none" w:sz="0" w:space="0" w:color="auto"/>
              </w:divBdr>
              <w:divsChild>
                <w:div w:id="9480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4256">
      <w:bodyDiv w:val="1"/>
      <w:marLeft w:val="0"/>
      <w:marRight w:val="0"/>
      <w:marTop w:val="0"/>
      <w:marBottom w:val="0"/>
      <w:divBdr>
        <w:top w:val="none" w:sz="0" w:space="0" w:color="auto"/>
        <w:left w:val="none" w:sz="0" w:space="0" w:color="auto"/>
        <w:bottom w:val="none" w:sz="0" w:space="0" w:color="auto"/>
        <w:right w:val="none" w:sz="0" w:space="0" w:color="auto"/>
      </w:divBdr>
      <w:divsChild>
        <w:div w:id="2097827004">
          <w:marLeft w:val="0"/>
          <w:marRight w:val="0"/>
          <w:marTop w:val="0"/>
          <w:marBottom w:val="0"/>
          <w:divBdr>
            <w:top w:val="single" w:sz="6" w:space="1" w:color="CCCCCC"/>
            <w:left w:val="single" w:sz="6" w:space="1" w:color="CCCCCC"/>
            <w:bottom w:val="single" w:sz="6" w:space="1" w:color="CCCCCC"/>
            <w:right w:val="single" w:sz="6" w:space="1" w:color="CCCCCC"/>
          </w:divBdr>
          <w:divsChild>
            <w:div w:id="1816289213">
              <w:marLeft w:val="0"/>
              <w:marRight w:val="0"/>
              <w:marTop w:val="0"/>
              <w:marBottom w:val="0"/>
              <w:divBdr>
                <w:top w:val="none" w:sz="0" w:space="0" w:color="auto"/>
                <w:left w:val="none" w:sz="0" w:space="0" w:color="auto"/>
                <w:bottom w:val="none" w:sz="0" w:space="0" w:color="auto"/>
                <w:right w:val="none" w:sz="0" w:space="0" w:color="auto"/>
              </w:divBdr>
              <w:divsChild>
                <w:div w:id="866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0844">
      <w:bodyDiv w:val="1"/>
      <w:marLeft w:val="0"/>
      <w:marRight w:val="0"/>
      <w:marTop w:val="0"/>
      <w:marBottom w:val="0"/>
      <w:divBdr>
        <w:top w:val="none" w:sz="0" w:space="0" w:color="auto"/>
        <w:left w:val="none" w:sz="0" w:space="0" w:color="auto"/>
        <w:bottom w:val="none" w:sz="0" w:space="0" w:color="auto"/>
        <w:right w:val="none" w:sz="0" w:space="0" w:color="auto"/>
      </w:divBdr>
      <w:divsChild>
        <w:div w:id="2003774930">
          <w:marLeft w:val="0"/>
          <w:marRight w:val="0"/>
          <w:marTop w:val="0"/>
          <w:marBottom w:val="0"/>
          <w:divBdr>
            <w:top w:val="single" w:sz="6" w:space="1" w:color="CCCCCC"/>
            <w:left w:val="single" w:sz="6" w:space="1" w:color="CCCCCC"/>
            <w:bottom w:val="single" w:sz="6" w:space="1" w:color="CCCCCC"/>
            <w:right w:val="single" w:sz="6" w:space="1" w:color="CCCCCC"/>
          </w:divBdr>
          <w:divsChild>
            <w:div w:id="2142964643">
              <w:marLeft w:val="0"/>
              <w:marRight w:val="0"/>
              <w:marTop w:val="0"/>
              <w:marBottom w:val="0"/>
              <w:divBdr>
                <w:top w:val="none" w:sz="0" w:space="0" w:color="auto"/>
                <w:left w:val="none" w:sz="0" w:space="0" w:color="auto"/>
                <w:bottom w:val="none" w:sz="0" w:space="0" w:color="auto"/>
                <w:right w:val="none" w:sz="0" w:space="0" w:color="auto"/>
              </w:divBdr>
              <w:divsChild>
                <w:div w:id="17946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5144">
      <w:bodyDiv w:val="1"/>
      <w:marLeft w:val="0"/>
      <w:marRight w:val="0"/>
      <w:marTop w:val="0"/>
      <w:marBottom w:val="0"/>
      <w:divBdr>
        <w:top w:val="none" w:sz="0" w:space="0" w:color="auto"/>
        <w:left w:val="none" w:sz="0" w:space="0" w:color="auto"/>
        <w:bottom w:val="none" w:sz="0" w:space="0" w:color="auto"/>
        <w:right w:val="none" w:sz="0" w:space="0" w:color="auto"/>
      </w:divBdr>
      <w:divsChild>
        <w:div w:id="1825316142">
          <w:marLeft w:val="0"/>
          <w:marRight w:val="0"/>
          <w:marTop w:val="0"/>
          <w:marBottom w:val="0"/>
          <w:divBdr>
            <w:top w:val="single" w:sz="6" w:space="1" w:color="CCCCCC"/>
            <w:left w:val="single" w:sz="6" w:space="1" w:color="CCCCCC"/>
            <w:bottom w:val="single" w:sz="6" w:space="1" w:color="CCCCCC"/>
            <w:right w:val="single" w:sz="6" w:space="1" w:color="CCCCCC"/>
          </w:divBdr>
          <w:divsChild>
            <w:div w:id="845636871">
              <w:marLeft w:val="0"/>
              <w:marRight w:val="0"/>
              <w:marTop w:val="0"/>
              <w:marBottom w:val="0"/>
              <w:divBdr>
                <w:top w:val="none" w:sz="0" w:space="0" w:color="auto"/>
                <w:left w:val="none" w:sz="0" w:space="0" w:color="auto"/>
                <w:bottom w:val="none" w:sz="0" w:space="0" w:color="auto"/>
                <w:right w:val="none" w:sz="0" w:space="0" w:color="auto"/>
              </w:divBdr>
              <w:divsChild>
                <w:div w:id="12279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7601">
      <w:bodyDiv w:val="1"/>
      <w:marLeft w:val="0"/>
      <w:marRight w:val="0"/>
      <w:marTop w:val="0"/>
      <w:marBottom w:val="0"/>
      <w:divBdr>
        <w:top w:val="none" w:sz="0" w:space="0" w:color="auto"/>
        <w:left w:val="none" w:sz="0" w:space="0" w:color="auto"/>
        <w:bottom w:val="none" w:sz="0" w:space="0" w:color="auto"/>
        <w:right w:val="none" w:sz="0" w:space="0" w:color="auto"/>
      </w:divBdr>
      <w:divsChild>
        <w:div w:id="866020993">
          <w:marLeft w:val="0"/>
          <w:marRight w:val="0"/>
          <w:marTop w:val="0"/>
          <w:marBottom w:val="0"/>
          <w:divBdr>
            <w:top w:val="none" w:sz="0" w:space="0" w:color="auto"/>
            <w:left w:val="none" w:sz="0" w:space="0" w:color="auto"/>
            <w:bottom w:val="none" w:sz="0" w:space="0" w:color="auto"/>
            <w:right w:val="none" w:sz="0" w:space="0" w:color="auto"/>
          </w:divBdr>
          <w:divsChild>
            <w:div w:id="4573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9713-0529-45A3-964F-C3AFF42E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2854</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163, Part II</vt:lpstr>
    </vt:vector>
  </TitlesOfParts>
  <Company>State of Florida</Company>
  <LinksUpToDate>false</LinksUpToDate>
  <CharactersWithSpaces>21027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 Part II</dc:title>
  <dc:subject/>
  <dc:creator>gilreath.debbie</dc:creator>
  <cp:keywords/>
  <dc:description/>
  <cp:lastModifiedBy>GILREATH.DEBBIE</cp:lastModifiedBy>
  <cp:revision>5</cp:revision>
  <cp:lastPrinted>2009-10-29T14:10:00Z</cp:lastPrinted>
  <dcterms:created xsi:type="dcterms:W3CDTF">2009-10-28T22:31:00Z</dcterms:created>
  <dcterms:modified xsi:type="dcterms:W3CDTF">2009-10-29T14:15:00Z</dcterms:modified>
</cp:coreProperties>
</file>